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C8" w:rsidRPr="000B6C1D" w:rsidRDefault="00EA5FD5" w:rsidP="00BC123A">
      <w:pPr>
        <w:pStyle w:val="Naslov5"/>
        <w:spacing w:before="1" w:line="276" w:lineRule="auto"/>
        <w:ind w:right="104" w:hanging="1"/>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EA5FD5" w:rsidRPr="000B6C1D" w:rsidRDefault="009B2CC8" w:rsidP="00BC123A">
      <w:pPr>
        <w:pStyle w:val="Naslov5"/>
        <w:spacing w:before="1" w:line="276" w:lineRule="auto"/>
        <w:ind w:right="104" w:hanging="1"/>
        <w:jc w:val="both"/>
        <w:rPr>
          <w:rFonts w:ascii="Times New Roman" w:hAnsi="Times New Roman" w:cs="Times New Roman"/>
          <w:color w:val="auto"/>
        </w:rPr>
      </w:pPr>
      <w:r w:rsidRPr="000B6C1D">
        <w:rPr>
          <w:rFonts w:ascii="Times New Roman" w:hAnsi="Times New Roman" w:cs="Times New Roman"/>
          <w:color w:val="auto"/>
        </w:rPr>
        <w:tab/>
      </w:r>
      <w:r w:rsidRPr="000B6C1D">
        <w:rPr>
          <w:rFonts w:ascii="Times New Roman" w:hAnsi="Times New Roman" w:cs="Times New Roman"/>
          <w:color w:val="auto"/>
        </w:rPr>
        <w:tab/>
      </w:r>
      <w:r w:rsidRPr="000B6C1D">
        <w:rPr>
          <w:rFonts w:ascii="Times New Roman" w:hAnsi="Times New Roman" w:cs="Times New Roman"/>
          <w:color w:val="auto"/>
        </w:rPr>
        <w:tab/>
      </w:r>
      <w:r w:rsidRPr="000B6C1D">
        <w:rPr>
          <w:rFonts w:ascii="Times New Roman" w:hAnsi="Times New Roman" w:cs="Times New Roman"/>
          <w:color w:val="auto"/>
        </w:rPr>
        <w:tab/>
      </w:r>
      <w:r w:rsidR="00EA5FD5" w:rsidRPr="000B6C1D">
        <w:rPr>
          <w:rFonts w:ascii="Times New Roman" w:hAnsi="Times New Roman" w:cs="Times New Roman"/>
          <w:color w:val="auto"/>
        </w:rPr>
        <w:tab/>
      </w:r>
      <w:r w:rsidR="00EA5FD5" w:rsidRPr="000B6C1D">
        <w:rPr>
          <w:rFonts w:ascii="Times New Roman" w:hAnsi="Times New Roman" w:cs="Times New Roman"/>
          <w:color w:val="auto"/>
        </w:rPr>
        <w:tab/>
        <w:t>OBRAZLOŽENJE</w:t>
      </w:r>
    </w:p>
    <w:p w:rsidR="00EA5FD5" w:rsidRPr="000B6C1D" w:rsidRDefault="00EA5FD5" w:rsidP="00BC123A">
      <w:pPr>
        <w:pStyle w:val="Naslov5"/>
        <w:spacing w:before="1" w:line="276" w:lineRule="auto"/>
        <w:ind w:right="104" w:hanging="1"/>
        <w:jc w:val="both"/>
        <w:rPr>
          <w:rFonts w:ascii="Times New Roman" w:hAnsi="Times New Roman" w:cs="Times New Roman"/>
          <w:color w:val="auto"/>
        </w:rPr>
      </w:pPr>
    </w:p>
    <w:p w:rsidR="009B2CC8" w:rsidRPr="000B6C1D" w:rsidRDefault="009B2CC8" w:rsidP="009B2CC8"/>
    <w:p w:rsidR="00BF3D83" w:rsidRPr="000B6C1D" w:rsidRDefault="00BF3D83" w:rsidP="00BC123A">
      <w:pPr>
        <w:pStyle w:val="Naslov5"/>
        <w:spacing w:before="1" w:line="276" w:lineRule="auto"/>
        <w:ind w:right="104" w:hanging="1"/>
        <w:jc w:val="both"/>
        <w:rPr>
          <w:rFonts w:ascii="Times New Roman" w:hAnsi="Times New Roman" w:cs="Times New Roman"/>
          <w:color w:val="auto"/>
        </w:rPr>
      </w:pPr>
      <w:r w:rsidRPr="000B6C1D">
        <w:rPr>
          <w:rFonts w:ascii="Times New Roman" w:hAnsi="Times New Roman" w:cs="Times New Roman"/>
          <w:color w:val="auto"/>
        </w:rPr>
        <w:t xml:space="preserve">Plan gospodarenja otpadom </w:t>
      </w:r>
      <w:r w:rsidR="00430222" w:rsidRPr="000B6C1D">
        <w:rPr>
          <w:rFonts w:ascii="Times New Roman" w:hAnsi="Times New Roman" w:cs="Times New Roman"/>
          <w:color w:val="auto"/>
        </w:rPr>
        <w:t>Općine Kostrena</w:t>
      </w:r>
      <w:r w:rsidRPr="000B6C1D">
        <w:rPr>
          <w:rFonts w:ascii="Times New Roman" w:hAnsi="Times New Roman" w:cs="Times New Roman"/>
          <w:color w:val="auto"/>
        </w:rPr>
        <w:t xml:space="preserve"> za razdoblje 2017. – 2022. godine</w:t>
      </w:r>
      <w:r w:rsidRPr="000B6C1D">
        <w:rPr>
          <w:rFonts w:ascii="Times New Roman" w:hAnsi="Times New Roman" w:cs="Times New Roman"/>
          <w:i/>
          <w:color w:val="auto"/>
        </w:rPr>
        <w:t xml:space="preserve"> </w:t>
      </w:r>
      <w:r w:rsidRPr="000B6C1D">
        <w:rPr>
          <w:rFonts w:ascii="Times New Roman" w:hAnsi="Times New Roman" w:cs="Times New Roman"/>
          <w:color w:val="auto"/>
        </w:rPr>
        <w:t>(</w:t>
      </w:r>
      <w:r w:rsidR="00796603" w:rsidRPr="000B6C1D">
        <w:rPr>
          <w:rFonts w:ascii="Times New Roman" w:hAnsi="Times New Roman" w:cs="Times New Roman"/>
          <w:color w:val="auto"/>
        </w:rPr>
        <w:t>u daljnjem tekstu</w:t>
      </w:r>
      <w:r w:rsidRPr="000B6C1D">
        <w:rPr>
          <w:rFonts w:ascii="Times New Roman" w:hAnsi="Times New Roman" w:cs="Times New Roman"/>
          <w:color w:val="auto"/>
        </w:rPr>
        <w:t xml:space="preserve">: Plan) je temeljni dokument kojim je utvrđen okvir za provedbu mjera gospodarenja otpadom i unaprjeđenje sustava održivog gospodarenja komunalnim otpadom u </w:t>
      </w:r>
      <w:r w:rsidR="00430222" w:rsidRPr="000B6C1D">
        <w:rPr>
          <w:rFonts w:ascii="Times New Roman" w:hAnsi="Times New Roman" w:cs="Times New Roman"/>
          <w:color w:val="auto"/>
        </w:rPr>
        <w:t>općini Kostrena</w:t>
      </w:r>
      <w:r w:rsidRPr="000B6C1D">
        <w:rPr>
          <w:rFonts w:ascii="Times New Roman" w:hAnsi="Times New Roman" w:cs="Times New Roman"/>
          <w:color w:val="auto"/>
        </w:rPr>
        <w:t xml:space="preserve"> do 2022. godine kojim se, na temelju analize postojećeg stanja i zakonski postavljenih ciljeva gospodarenja otpadom, određuju mjere i aktivnosti potrebne za poboljšanje sustava te jačanje svijesti i participacije javnosti u njegovoj uspostavi i provedbi.</w:t>
      </w:r>
    </w:p>
    <w:p w:rsidR="00BF3D83" w:rsidRPr="000B6C1D" w:rsidRDefault="00BF3D83" w:rsidP="00BC123A">
      <w:pPr>
        <w:pStyle w:val="Tijeloteksta"/>
        <w:spacing w:before="4"/>
        <w:jc w:val="both"/>
        <w:rPr>
          <w:rFonts w:ascii="Times New Roman" w:hAnsi="Times New Roman" w:cs="Times New Roman"/>
          <w:sz w:val="25"/>
        </w:rPr>
      </w:pPr>
    </w:p>
    <w:p w:rsidR="00BF3D83" w:rsidRPr="000B6C1D" w:rsidRDefault="00BF3D83" w:rsidP="009B4ACA">
      <w:pPr>
        <w:jc w:val="both"/>
        <w:rPr>
          <w:b/>
          <w:i/>
        </w:rPr>
      </w:pPr>
      <w:r w:rsidRPr="000B6C1D">
        <w:rPr>
          <w:b/>
          <w:i/>
        </w:rPr>
        <w:t>Pravni temelj za pokretanje izrade Plana</w:t>
      </w:r>
    </w:p>
    <w:p w:rsidR="00BF3D83" w:rsidRPr="000B6C1D" w:rsidRDefault="00BF3D83" w:rsidP="009B4ACA">
      <w:pPr>
        <w:pStyle w:val="Tijeloteksta"/>
        <w:spacing w:before="6"/>
        <w:jc w:val="both"/>
        <w:rPr>
          <w:rFonts w:ascii="Times New Roman" w:hAnsi="Times New Roman" w:cs="Times New Roman"/>
          <w:b/>
          <w:i/>
        </w:rPr>
      </w:pPr>
    </w:p>
    <w:p w:rsidR="00BF3D83" w:rsidRPr="000B6C1D" w:rsidRDefault="00BF3D83" w:rsidP="009B4ACA">
      <w:pPr>
        <w:spacing w:line="276" w:lineRule="auto"/>
        <w:ind w:right="107"/>
        <w:jc w:val="both"/>
      </w:pPr>
      <w:r w:rsidRPr="000B6C1D">
        <w:t xml:space="preserve">Pravni temelj za pokretanje izrade Plana je </w:t>
      </w:r>
      <w:r w:rsidRPr="000B6C1D">
        <w:rPr>
          <w:i/>
        </w:rPr>
        <w:t>članak 28. stavak 1. točka 5. Zakona o održivom gospodarenju otpadom (NN 94/13 i 73/17) (</w:t>
      </w:r>
      <w:r w:rsidR="00796603" w:rsidRPr="000B6C1D">
        <w:rPr>
          <w:i/>
        </w:rPr>
        <w:t>u daljnjem tekstu</w:t>
      </w:r>
      <w:r w:rsidRPr="000B6C1D">
        <w:rPr>
          <w:i/>
        </w:rPr>
        <w:t>: ZOGO)</w:t>
      </w:r>
      <w:r w:rsidRPr="000B6C1D">
        <w:t>.</w:t>
      </w:r>
    </w:p>
    <w:p w:rsidR="00BF3D83" w:rsidRPr="000B6C1D" w:rsidRDefault="00BF3D83" w:rsidP="009B4ACA">
      <w:pPr>
        <w:pStyle w:val="Tijeloteksta"/>
        <w:jc w:val="both"/>
        <w:rPr>
          <w:rFonts w:ascii="Times New Roman" w:hAnsi="Times New Roman" w:cs="Times New Roman"/>
          <w:sz w:val="24"/>
        </w:rPr>
      </w:pPr>
    </w:p>
    <w:p w:rsidR="00BF3D83" w:rsidRPr="000B6C1D" w:rsidRDefault="00BF3D83" w:rsidP="009B4ACA">
      <w:pPr>
        <w:spacing w:before="210"/>
        <w:jc w:val="both"/>
        <w:rPr>
          <w:b/>
          <w:i/>
        </w:rPr>
      </w:pPr>
      <w:r w:rsidRPr="000B6C1D">
        <w:rPr>
          <w:b/>
          <w:i/>
        </w:rPr>
        <w:t>Okvir za izradu i donošenje Plana</w:t>
      </w:r>
    </w:p>
    <w:p w:rsidR="00BF3D83" w:rsidRPr="000B6C1D" w:rsidRDefault="00BF3D83" w:rsidP="00BC123A">
      <w:pPr>
        <w:pStyle w:val="Tijeloteksta"/>
        <w:spacing w:before="9"/>
        <w:jc w:val="both"/>
        <w:rPr>
          <w:rFonts w:ascii="Times New Roman" w:hAnsi="Times New Roman" w:cs="Times New Roman"/>
          <w:b/>
          <w:i/>
        </w:rPr>
      </w:pPr>
    </w:p>
    <w:p w:rsidR="00BF3D83" w:rsidRPr="000B6C1D" w:rsidRDefault="00BF3D83" w:rsidP="00430222">
      <w:pPr>
        <w:spacing w:before="199" w:line="276" w:lineRule="auto"/>
        <w:ind w:right="106"/>
        <w:jc w:val="both"/>
      </w:pPr>
      <w:r w:rsidRPr="000B6C1D">
        <w:t>Dokume</w:t>
      </w:r>
      <w:r w:rsidR="00430222" w:rsidRPr="000B6C1D">
        <w:t>n</w:t>
      </w:r>
      <w:r w:rsidRPr="000B6C1D">
        <w:t xml:space="preserve">t gospodarenja otpadom najviše razine je </w:t>
      </w:r>
      <w:r w:rsidRPr="000B6C1D">
        <w:rPr>
          <w:i/>
        </w:rPr>
        <w:t xml:space="preserve">Strategija gospodarenja otpadom (NN 130/05) </w:t>
      </w:r>
      <w:r w:rsidRPr="000B6C1D">
        <w:t>. Polazeći od ocjene stanja te vizije o primjerenom sustavu gospodarenja otpadom u vrijeme njena donošenja, Strategija definira ciljeve te predlaže mjere za njihovo postupno ostvarivanje do 2025. godine. Koncipirana kao dugoročni dokument Strategija pretpostavlja stalno praćenje ostvarivanja postavljene vizije te, prema potrebi, podliježe reviziji i promjenama. Takva inicijativa za sada ne postoji.</w:t>
      </w:r>
    </w:p>
    <w:p w:rsidR="00BF3D83" w:rsidRPr="000B6C1D" w:rsidRDefault="00BF3D83" w:rsidP="00430222">
      <w:pPr>
        <w:pStyle w:val="Tijeloteksta"/>
        <w:spacing w:before="4"/>
        <w:ind w:hanging="218"/>
        <w:jc w:val="both"/>
        <w:rPr>
          <w:rFonts w:ascii="Times New Roman" w:hAnsi="Times New Roman" w:cs="Times New Roman"/>
          <w:sz w:val="25"/>
        </w:rPr>
      </w:pPr>
    </w:p>
    <w:p w:rsidR="00BF3D83" w:rsidRPr="000B6C1D" w:rsidRDefault="00BF3D83" w:rsidP="00430222">
      <w:pPr>
        <w:spacing w:line="276" w:lineRule="auto"/>
        <w:ind w:right="107"/>
        <w:jc w:val="both"/>
      </w:pPr>
      <w:r w:rsidRPr="000B6C1D">
        <w:t xml:space="preserve">Slijedeća razina je </w:t>
      </w:r>
      <w:r w:rsidRPr="000B6C1D">
        <w:rPr>
          <w:i/>
        </w:rPr>
        <w:t xml:space="preserve">Plan gospodarenja otpadom Republike Hrvatske </w:t>
      </w:r>
      <w:r w:rsidRPr="000B6C1D">
        <w:rPr>
          <w:i/>
          <w:spacing w:val="-4"/>
        </w:rPr>
        <w:t xml:space="preserve">za </w:t>
      </w:r>
      <w:r w:rsidRPr="000B6C1D">
        <w:rPr>
          <w:i/>
        </w:rPr>
        <w:t xml:space="preserve">razdoblje 2017. – 2022. godine </w:t>
      </w:r>
      <w:r w:rsidRPr="000B6C1D">
        <w:t>(</w:t>
      </w:r>
      <w:r w:rsidR="00425E47" w:rsidRPr="000B6C1D">
        <w:t>u daljnjem tekstu</w:t>
      </w:r>
      <w:r w:rsidRPr="000B6C1D">
        <w:t>: PGO RH) s Kartom gospodarenja otpadom i Planom sprječavanja nastanka otpada</w:t>
      </w:r>
      <w:r w:rsidR="009B4ACA" w:rsidRPr="000B6C1D">
        <w:t>,</w:t>
      </w:r>
      <w:r w:rsidRPr="000B6C1D">
        <w:t xml:space="preserve"> a najniža razina su planovi gospodarenja otpadom jedinice lokalne samouprave </w:t>
      </w:r>
    </w:p>
    <w:p w:rsidR="00BF3D83" w:rsidRPr="000B6C1D" w:rsidRDefault="00BF3D83" w:rsidP="00430222">
      <w:pPr>
        <w:pStyle w:val="Naslov5"/>
        <w:spacing w:before="1" w:line="276" w:lineRule="auto"/>
        <w:ind w:right="108"/>
        <w:jc w:val="both"/>
        <w:rPr>
          <w:rFonts w:ascii="Times New Roman" w:hAnsi="Times New Roman" w:cs="Times New Roman"/>
          <w:color w:val="auto"/>
        </w:rPr>
      </w:pPr>
      <w:r w:rsidRPr="000B6C1D">
        <w:rPr>
          <w:rFonts w:ascii="Times New Roman" w:hAnsi="Times New Roman" w:cs="Times New Roman"/>
          <w:color w:val="auto"/>
        </w:rPr>
        <w:t xml:space="preserve">Propisano je da planovi gospodarenja otpadom jedinica lokalne samouprave i Grada Zagreba moraju biti usklađeni sa Zakonom, </w:t>
      </w:r>
      <w:proofErr w:type="spellStart"/>
      <w:r w:rsidRPr="000B6C1D">
        <w:rPr>
          <w:rFonts w:ascii="Times New Roman" w:hAnsi="Times New Roman" w:cs="Times New Roman"/>
          <w:color w:val="auto"/>
        </w:rPr>
        <w:t>podzakonskim</w:t>
      </w:r>
      <w:proofErr w:type="spellEnd"/>
      <w:r w:rsidRPr="000B6C1D">
        <w:rPr>
          <w:rFonts w:ascii="Times New Roman" w:hAnsi="Times New Roman" w:cs="Times New Roman"/>
          <w:color w:val="auto"/>
        </w:rPr>
        <w:t xml:space="preserve"> propisima i PGO RH.</w:t>
      </w:r>
    </w:p>
    <w:p w:rsidR="00BF3D83" w:rsidRPr="000B6C1D" w:rsidRDefault="00BF3D83" w:rsidP="00425E47">
      <w:pPr>
        <w:spacing w:line="252" w:lineRule="exact"/>
        <w:jc w:val="both"/>
        <w:rPr>
          <w:i/>
        </w:rPr>
      </w:pPr>
      <w:r w:rsidRPr="000B6C1D">
        <w:t xml:space="preserve">Od </w:t>
      </w:r>
      <w:proofErr w:type="spellStart"/>
      <w:r w:rsidRPr="000B6C1D">
        <w:t>podzakonskih</w:t>
      </w:r>
      <w:proofErr w:type="spellEnd"/>
      <w:r w:rsidRPr="000B6C1D">
        <w:t xml:space="preserve"> propisa za usmjeravanje gospodarenja komunalnim otpadom najvažniji je</w:t>
      </w:r>
      <w:r w:rsidR="00425E47" w:rsidRPr="000B6C1D">
        <w:t xml:space="preserve"> </w:t>
      </w:r>
      <w:r w:rsidRPr="000B6C1D">
        <w:rPr>
          <w:i/>
        </w:rPr>
        <w:t>Uredba o</w:t>
      </w:r>
      <w:r w:rsidRPr="000B6C1D">
        <w:t xml:space="preserve"> </w:t>
      </w:r>
      <w:r w:rsidRPr="000B6C1D">
        <w:rPr>
          <w:i/>
        </w:rPr>
        <w:t>gospodarenju komunalnim otpadom (NN 50/17)</w:t>
      </w:r>
      <w:r w:rsidRPr="000B6C1D">
        <w:t>.</w:t>
      </w:r>
    </w:p>
    <w:p w:rsidR="00BF3D83" w:rsidRPr="000B6C1D" w:rsidRDefault="00BF3D83" w:rsidP="00430222">
      <w:pPr>
        <w:pStyle w:val="Tijeloteksta"/>
        <w:spacing w:before="5"/>
        <w:jc w:val="both"/>
        <w:rPr>
          <w:rFonts w:ascii="Times New Roman" w:hAnsi="Times New Roman" w:cs="Times New Roman"/>
          <w:sz w:val="28"/>
        </w:rPr>
      </w:pPr>
    </w:p>
    <w:p w:rsidR="00BF3D83" w:rsidRPr="000B6C1D" w:rsidRDefault="00BF3D83" w:rsidP="00430222">
      <w:pPr>
        <w:spacing w:line="276" w:lineRule="auto"/>
        <w:ind w:right="112"/>
        <w:jc w:val="both"/>
      </w:pPr>
      <w:r w:rsidRPr="000B6C1D">
        <w:t>Plan gospodarenja otpadom jedinica lokalne samouprave donosi se za razdoblje od šest godina, a izmjene i dopune po potrebi.</w:t>
      </w:r>
    </w:p>
    <w:p w:rsidR="00BF3D83" w:rsidRPr="000B6C1D" w:rsidRDefault="00BF3D83" w:rsidP="00430222">
      <w:pPr>
        <w:pStyle w:val="Tijeloteksta"/>
        <w:spacing w:before="2"/>
        <w:jc w:val="both"/>
        <w:rPr>
          <w:rFonts w:ascii="Times New Roman" w:hAnsi="Times New Roman" w:cs="Times New Roman"/>
          <w:sz w:val="25"/>
        </w:rPr>
      </w:pPr>
    </w:p>
    <w:p w:rsidR="002F30DF" w:rsidRPr="000B6C1D" w:rsidRDefault="00BF3D83" w:rsidP="00430222">
      <w:pPr>
        <w:spacing w:line="276" w:lineRule="auto"/>
        <w:ind w:right="108"/>
        <w:jc w:val="both"/>
      </w:pPr>
      <w:r w:rsidRPr="000B6C1D">
        <w:t xml:space="preserve">Jedinica lokalne samouprave dužna je za </w:t>
      </w:r>
      <w:r w:rsidRPr="000B6C1D">
        <w:rPr>
          <w:b/>
        </w:rPr>
        <w:t xml:space="preserve">prijedlog plana </w:t>
      </w:r>
      <w:r w:rsidRPr="000B6C1D">
        <w:t>ishoditi prethodnu suglasnost upravnog tijela jedinice područne (regionalne) samouprave nadležnog za poslove zaštite okoliša. Nadležno upravno tijelo izdaje prethodnu suglasnost ako utvrdi da je prijedlog plana usklađen s odredbama Zakona, propisa donesenih na temelju Zakona i nacional</w:t>
      </w:r>
      <w:r w:rsidR="003E7CD3" w:rsidRPr="000B6C1D">
        <w:t>nim planom gospodarenja otpadom.</w:t>
      </w:r>
    </w:p>
    <w:p w:rsidR="003E7CD3" w:rsidRPr="000B6C1D" w:rsidRDefault="003E7CD3" w:rsidP="00430222">
      <w:pPr>
        <w:pStyle w:val="Naslov5"/>
        <w:spacing w:before="182" w:line="276" w:lineRule="auto"/>
        <w:ind w:right="105"/>
        <w:jc w:val="both"/>
        <w:rPr>
          <w:rFonts w:ascii="Times New Roman" w:hAnsi="Times New Roman" w:cs="Times New Roman"/>
          <w:color w:val="auto"/>
        </w:rPr>
      </w:pPr>
      <w:r w:rsidRPr="000B6C1D">
        <w:rPr>
          <w:rFonts w:ascii="Times New Roman" w:hAnsi="Times New Roman" w:cs="Times New Roman"/>
          <w:color w:val="auto"/>
        </w:rPr>
        <w:lastRenderedPageBreak/>
        <w:t xml:space="preserve">Temeljem odredbi ZOGO, radi osiguranja sudjelovanja javnosti u postupku donošenja plana gospodarenja otpadom, </w:t>
      </w:r>
      <w:r w:rsidRPr="000B6C1D">
        <w:rPr>
          <w:rFonts w:ascii="Times New Roman" w:hAnsi="Times New Roman" w:cs="Times New Roman"/>
          <w:b/>
          <w:color w:val="auto"/>
        </w:rPr>
        <w:t xml:space="preserve">nacrt plana </w:t>
      </w:r>
      <w:r w:rsidRPr="000B6C1D">
        <w:rPr>
          <w:rFonts w:ascii="Times New Roman" w:hAnsi="Times New Roman" w:cs="Times New Roman"/>
          <w:color w:val="auto"/>
          <w:u w:val="single"/>
        </w:rPr>
        <w:t>objavljuje se na internetskoj stranici</w:t>
      </w:r>
      <w:r w:rsidRPr="000B6C1D">
        <w:rPr>
          <w:rFonts w:ascii="Times New Roman" w:hAnsi="Times New Roman" w:cs="Times New Roman"/>
          <w:color w:val="auto"/>
        </w:rPr>
        <w:t xml:space="preserve"> radi pribavljanja mišljenja, prijedloga i primjedbi javnosti. Jedinice lokalne samouprave putem medija izvješćuju javnost o mjestu na kojem je nacrt plana dostupan te načinu i vremenu iznošenja mišljenja, prijedloga i primjedbi. Rok u kojem javnost može iznositi primjedbe, prijedloge i mišljenja ne može biti kraći od 30 dana od dana</w:t>
      </w:r>
      <w:r w:rsidRPr="000B6C1D">
        <w:rPr>
          <w:rFonts w:ascii="Times New Roman" w:hAnsi="Times New Roman" w:cs="Times New Roman"/>
          <w:color w:val="auto"/>
          <w:spacing w:val="-10"/>
        </w:rPr>
        <w:t xml:space="preserve"> </w:t>
      </w:r>
      <w:r w:rsidRPr="000B6C1D">
        <w:rPr>
          <w:rFonts w:ascii="Times New Roman" w:hAnsi="Times New Roman" w:cs="Times New Roman"/>
          <w:color w:val="auto"/>
        </w:rPr>
        <w:t>objave.</w:t>
      </w:r>
    </w:p>
    <w:p w:rsidR="00BF3D83" w:rsidRPr="000B6C1D" w:rsidRDefault="00BF3D83" w:rsidP="00430222">
      <w:pPr>
        <w:spacing w:before="69" w:line="276" w:lineRule="auto"/>
        <w:ind w:right="107"/>
        <w:jc w:val="both"/>
      </w:pPr>
      <w:r w:rsidRPr="000B6C1D">
        <w:t>Temeljem odredbi o sudjelovanju javnosti iz Zakona o zaštiti okoliša (NN 8</w:t>
      </w:r>
      <w:r w:rsidR="00087185">
        <w:t>0</w:t>
      </w:r>
      <w:r w:rsidRPr="000B6C1D">
        <w:t>/</w:t>
      </w:r>
      <w:r w:rsidR="00087185">
        <w:t>13,153/13,</w:t>
      </w:r>
      <w:r w:rsidRPr="000B6C1D">
        <w:t xml:space="preserve"> 78/15</w:t>
      </w:r>
      <w:r w:rsidR="00087185">
        <w:t>,12/18</w:t>
      </w:r>
      <w:bookmarkStart w:id="0" w:name="_GoBack"/>
      <w:bookmarkEnd w:id="0"/>
      <w:r w:rsidRPr="000B6C1D">
        <w:t xml:space="preserve">) i Uredbe o sudjelovanju javnosti i zainteresirane javnosti u pitanjima zaštite okoliša (NN 64/08), tijelo nadležno za izradu plana dužno je </w:t>
      </w:r>
      <w:r w:rsidRPr="000B6C1D">
        <w:rPr>
          <w:u w:val="single"/>
        </w:rPr>
        <w:t>informaciju o izradi</w:t>
      </w:r>
      <w:r w:rsidRPr="000B6C1D">
        <w:t xml:space="preserve"> </w:t>
      </w:r>
      <w:r w:rsidRPr="000B6C1D">
        <w:rPr>
          <w:b/>
        </w:rPr>
        <w:t>nacrta prijedloga plana</w:t>
      </w:r>
      <w:r w:rsidRPr="000B6C1D">
        <w:rPr>
          <w:b/>
          <w:u w:val="single"/>
        </w:rPr>
        <w:t xml:space="preserve"> </w:t>
      </w:r>
      <w:r w:rsidRPr="000B6C1D">
        <w:rPr>
          <w:u w:val="single"/>
        </w:rPr>
        <w:t>objaviti na internetskoj</w:t>
      </w:r>
      <w:r w:rsidRPr="000B6C1D">
        <w:t xml:space="preserve"> </w:t>
      </w:r>
      <w:r w:rsidRPr="000B6C1D">
        <w:rPr>
          <w:u w:val="single"/>
        </w:rPr>
        <w:t>stranici</w:t>
      </w:r>
      <w:r w:rsidRPr="000B6C1D">
        <w:t>. Obvezni sadržaj informacije propisan je odredbom iz članka 14. stavak 2. navedene Uredbe.</w:t>
      </w:r>
    </w:p>
    <w:p w:rsidR="00BF3D83" w:rsidRPr="000B6C1D" w:rsidRDefault="00BF3D83" w:rsidP="00430222">
      <w:pPr>
        <w:pStyle w:val="Tijeloteksta"/>
        <w:spacing w:before="2"/>
        <w:jc w:val="both"/>
        <w:rPr>
          <w:rFonts w:ascii="Times New Roman" w:hAnsi="Times New Roman" w:cs="Times New Roman"/>
          <w:sz w:val="25"/>
        </w:rPr>
      </w:pPr>
    </w:p>
    <w:p w:rsidR="00BF3D83" w:rsidRPr="000B6C1D" w:rsidRDefault="00BF3D83" w:rsidP="00430222">
      <w:pPr>
        <w:spacing w:line="276" w:lineRule="auto"/>
        <w:ind w:right="106"/>
        <w:jc w:val="both"/>
      </w:pPr>
      <w:r w:rsidRPr="000B6C1D">
        <w:t xml:space="preserve">U istu svrhu, temeljem odredbi Zakona o pravu na pristup informacijama (NN 25/13 i 85/15), jedinica lokalne samouprave pri donošenju plana gospodarenja otpadom dužna je </w:t>
      </w:r>
      <w:r w:rsidRPr="000B6C1D">
        <w:rPr>
          <w:u w:val="single"/>
        </w:rPr>
        <w:t>provesti</w:t>
      </w:r>
      <w:r w:rsidRPr="000B6C1D">
        <w:t xml:space="preserve"> </w:t>
      </w:r>
      <w:r w:rsidRPr="000B6C1D">
        <w:rPr>
          <w:u w:val="single"/>
        </w:rPr>
        <w:t>savjetovanje s javnošću preko internetske stranice</w:t>
      </w:r>
      <w:r w:rsidRPr="000B6C1D">
        <w:t xml:space="preserve">, </w:t>
      </w:r>
      <w:r w:rsidRPr="000B6C1D">
        <w:rPr>
          <w:u w:val="single"/>
        </w:rPr>
        <w:t xml:space="preserve">objavom </w:t>
      </w:r>
      <w:r w:rsidRPr="000B6C1D">
        <w:rPr>
          <w:b/>
        </w:rPr>
        <w:t xml:space="preserve">nacrta plana </w:t>
      </w:r>
      <w:r w:rsidRPr="000B6C1D">
        <w:t>s obrazloženjem razloga i ciljeva koji se žele postići donošenjem plana te pozivom javnosti da dostavi svoje prijedloge i mišljenja, objavom na internetskoj stranici izvješća o provedenom savjetovanju te dostavom izvješća tijelu koje donosi</w:t>
      </w:r>
      <w:r w:rsidRPr="000B6C1D">
        <w:rPr>
          <w:spacing w:val="-3"/>
        </w:rPr>
        <w:t xml:space="preserve"> </w:t>
      </w:r>
      <w:r w:rsidRPr="000B6C1D">
        <w:t>plan.</w:t>
      </w:r>
    </w:p>
    <w:p w:rsidR="00BF3D83" w:rsidRPr="000B6C1D" w:rsidRDefault="00BF3D83" w:rsidP="00430222">
      <w:pPr>
        <w:pStyle w:val="Tijeloteksta"/>
        <w:spacing w:before="2"/>
        <w:jc w:val="both"/>
        <w:rPr>
          <w:rFonts w:ascii="Times New Roman" w:hAnsi="Times New Roman" w:cs="Times New Roman"/>
          <w:sz w:val="25"/>
        </w:rPr>
      </w:pPr>
    </w:p>
    <w:p w:rsidR="00BF3D83" w:rsidRPr="000B6C1D" w:rsidRDefault="00BF3D83" w:rsidP="00430222">
      <w:pPr>
        <w:spacing w:line="276" w:lineRule="auto"/>
        <w:ind w:right="108"/>
        <w:jc w:val="both"/>
      </w:pPr>
      <w:r w:rsidRPr="000B6C1D">
        <w:t xml:space="preserve">Plan gospodarenja otpadom jedinice lokalne samouprave donosi predstavničko tijelo jedinice lokalne samouprave. </w:t>
      </w:r>
      <w:r w:rsidRPr="000B6C1D">
        <w:rPr>
          <w:b/>
        </w:rPr>
        <w:t xml:space="preserve">Doneseni plan </w:t>
      </w:r>
      <w:r w:rsidRPr="000B6C1D">
        <w:rPr>
          <w:u w:val="single"/>
        </w:rPr>
        <w:t>objavljuje se u službenom glasilu</w:t>
      </w:r>
      <w:r w:rsidRPr="000B6C1D">
        <w:t xml:space="preserve"> jedinice lokalne samouprave.</w:t>
      </w:r>
    </w:p>
    <w:p w:rsidR="00425E47" w:rsidRPr="000B6C1D" w:rsidRDefault="00425E47" w:rsidP="009E018D">
      <w:pPr>
        <w:spacing w:before="79"/>
        <w:jc w:val="both"/>
        <w:rPr>
          <w:b/>
          <w:i/>
        </w:rPr>
      </w:pPr>
    </w:p>
    <w:p w:rsidR="00BF3D83" w:rsidRPr="000B6C1D" w:rsidRDefault="00BF3D83" w:rsidP="009E018D">
      <w:pPr>
        <w:spacing w:before="79"/>
        <w:jc w:val="both"/>
        <w:rPr>
          <w:b/>
          <w:i/>
        </w:rPr>
      </w:pPr>
      <w:r w:rsidRPr="000B6C1D">
        <w:rPr>
          <w:b/>
          <w:i/>
        </w:rPr>
        <w:t>Polazišta i ciljevi Plana</w:t>
      </w:r>
    </w:p>
    <w:p w:rsidR="00BF3D83" w:rsidRPr="000B6C1D" w:rsidRDefault="00BF3D83" w:rsidP="009E018D">
      <w:pPr>
        <w:pStyle w:val="Tijeloteksta"/>
        <w:spacing w:before="6"/>
        <w:ind w:firstLine="218"/>
        <w:jc w:val="both"/>
        <w:rPr>
          <w:rFonts w:ascii="Times New Roman" w:hAnsi="Times New Roman" w:cs="Times New Roman"/>
          <w:b/>
          <w:i/>
        </w:rPr>
      </w:pPr>
    </w:p>
    <w:p w:rsidR="00BF3D83" w:rsidRPr="000B6C1D" w:rsidRDefault="00BF3D83" w:rsidP="009E018D">
      <w:pPr>
        <w:spacing w:line="276" w:lineRule="auto"/>
        <w:ind w:right="109"/>
        <w:jc w:val="both"/>
      </w:pPr>
      <w:r w:rsidRPr="000B6C1D">
        <w:t>Glavni cilj Plana je odrediti okvir za uspostavu cjelovitog sustava gospodarenja, primarno komunalnim otpadom.</w:t>
      </w:r>
    </w:p>
    <w:p w:rsidR="00BF3D83" w:rsidRPr="000B6C1D" w:rsidRDefault="00BF3D83" w:rsidP="009E018D">
      <w:pPr>
        <w:spacing w:before="196" w:line="276" w:lineRule="auto"/>
        <w:ind w:right="107"/>
        <w:jc w:val="both"/>
      </w:pPr>
      <w:r w:rsidRPr="000B6C1D">
        <w:t xml:space="preserve">Polazišta Plana određena su sukladno ZOGO i PGO RH, što znači da su Planom određene mjere kojima će </w:t>
      </w:r>
      <w:r w:rsidR="009E018D" w:rsidRPr="000B6C1D">
        <w:t>Općina Kostrena</w:t>
      </w:r>
      <w:r w:rsidRPr="000B6C1D">
        <w:t>, na kvalitetan, postojan i ekonomski učinkovit način u skladu s načelima održivog razvoja, zaštite okoliša i gospodarenja otpadom, na svojem administrativnom području uspostaviti, unaprijediti ili osigurati najmanje:</w:t>
      </w:r>
    </w:p>
    <w:p w:rsidR="00BF3D83" w:rsidRPr="000B6C1D" w:rsidRDefault="00BF3D83" w:rsidP="00F764B2">
      <w:pPr>
        <w:pStyle w:val="Odlomakpopisa"/>
        <w:widowControl w:val="0"/>
        <w:numPr>
          <w:ilvl w:val="0"/>
          <w:numId w:val="13"/>
        </w:numPr>
        <w:tabs>
          <w:tab w:val="left" w:pos="993"/>
        </w:tabs>
        <w:autoSpaceDE w:val="0"/>
        <w:autoSpaceDN w:val="0"/>
        <w:ind w:left="426" w:hanging="426"/>
        <w:contextualSpacing w:val="0"/>
        <w:jc w:val="both"/>
      </w:pPr>
      <w:r w:rsidRPr="000B6C1D">
        <w:t>sakupljanje i pripremu za ponovnu uporabu rabljenih</w:t>
      </w:r>
      <w:r w:rsidRPr="000B6C1D">
        <w:rPr>
          <w:spacing w:val="-10"/>
        </w:rPr>
        <w:t xml:space="preserve"> </w:t>
      </w:r>
      <w:r w:rsidRPr="000B6C1D">
        <w:t>proizvoda</w:t>
      </w:r>
    </w:p>
    <w:p w:rsidR="009E018D" w:rsidRPr="000B6C1D" w:rsidRDefault="00BF3D83" w:rsidP="00F764B2">
      <w:pPr>
        <w:pStyle w:val="Odlomakpopisa"/>
        <w:widowControl w:val="0"/>
        <w:numPr>
          <w:ilvl w:val="0"/>
          <w:numId w:val="13"/>
        </w:numPr>
        <w:tabs>
          <w:tab w:val="left" w:pos="932"/>
        </w:tabs>
        <w:autoSpaceDE w:val="0"/>
        <w:autoSpaceDN w:val="0"/>
        <w:spacing w:before="37" w:line="276" w:lineRule="auto"/>
        <w:ind w:left="426" w:right="107" w:hanging="426"/>
        <w:contextualSpacing w:val="0"/>
        <w:jc w:val="both"/>
      </w:pPr>
      <w:r w:rsidRPr="000B6C1D">
        <w:t xml:space="preserve">odvojeno prikupljanje otpadnog papira, metala, stakla, plastike i tekstila te krupnog </w:t>
      </w:r>
      <w:r w:rsidR="009E018D" w:rsidRPr="000B6C1D">
        <w:t>otpada</w:t>
      </w:r>
    </w:p>
    <w:p w:rsidR="00BF3D83" w:rsidRPr="000B6C1D" w:rsidRDefault="00BF3D83" w:rsidP="00F764B2">
      <w:pPr>
        <w:pStyle w:val="Odlomakpopisa"/>
        <w:widowControl w:val="0"/>
        <w:numPr>
          <w:ilvl w:val="0"/>
          <w:numId w:val="13"/>
        </w:numPr>
        <w:tabs>
          <w:tab w:val="left" w:pos="932"/>
        </w:tabs>
        <w:autoSpaceDE w:val="0"/>
        <w:autoSpaceDN w:val="0"/>
        <w:spacing w:before="2"/>
        <w:ind w:left="426" w:hanging="426"/>
        <w:contextualSpacing w:val="0"/>
        <w:jc w:val="both"/>
      </w:pPr>
      <w:r w:rsidRPr="000B6C1D">
        <w:t>pripremu za recikliranje odvojeno prikupljenog otpadnog papira, metala, stakla,</w:t>
      </w:r>
      <w:r w:rsidRPr="000B6C1D">
        <w:rPr>
          <w:spacing w:val="-27"/>
        </w:rPr>
        <w:t xml:space="preserve"> </w:t>
      </w:r>
      <w:r w:rsidRPr="000B6C1D">
        <w:t>plastike</w:t>
      </w:r>
    </w:p>
    <w:p w:rsidR="00BF3D83" w:rsidRPr="000B6C1D" w:rsidRDefault="00BF3D83" w:rsidP="00F764B2">
      <w:pPr>
        <w:pStyle w:val="Odlomakpopisa"/>
        <w:widowControl w:val="0"/>
        <w:numPr>
          <w:ilvl w:val="0"/>
          <w:numId w:val="13"/>
        </w:numPr>
        <w:tabs>
          <w:tab w:val="left" w:pos="932"/>
        </w:tabs>
        <w:autoSpaceDE w:val="0"/>
        <w:autoSpaceDN w:val="0"/>
        <w:spacing w:before="37" w:line="276" w:lineRule="auto"/>
        <w:ind w:left="426" w:right="108" w:hanging="426"/>
        <w:contextualSpacing w:val="0"/>
        <w:jc w:val="both"/>
      </w:pPr>
      <w:r w:rsidRPr="000B6C1D">
        <w:t xml:space="preserve">javnu uslugu prikupljanja miješanog komunalnog otpada i biorazgradivog komunalnog </w:t>
      </w:r>
      <w:r w:rsidR="009E018D" w:rsidRPr="000B6C1D">
        <w:t>otpada</w:t>
      </w:r>
    </w:p>
    <w:p w:rsidR="00BF3D83" w:rsidRPr="000B6C1D" w:rsidRDefault="00BF3D83" w:rsidP="00F764B2">
      <w:pPr>
        <w:pStyle w:val="Odlomakpopisa"/>
        <w:widowControl w:val="0"/>
        <w:numPr>
          <w:ilvl w:val="0"/>
          <w:numId w:val="13"/>
        </w:numPr>
        <w:autoSpaceDE w:val="0"/>
        <w:autoSpaceDN w:val="0"/>
        <w:spacing w:line="252" w:lineRule="exact"/>
        <w:ind w:left="426" w:hanging="426"/>
        <w:contextualSpacing w:val="0"/>
        <w:jc w:val="both"/>
      </w:pPr>
      <w:r w:rsidRPr="000B6C1D">
        <w:t>sustav sprječavanja odbacivanja otpada te uklanjanje tako odbačenog</w:t>
      </w:r>
      <w:r w:rsidRPr="000B6C1D">
        <w:rPr>
          <w:spacing w:val="-14"/>
        </w:rPr>
        <w:t xml:space="preserve"> </w:t>
      </w:r>
      <w:r w:rsidRPr="000B6C1D">
        <w:t>otpada,</w:t>
      </w:r>
    </w:p>
    <w:p w:rsidR="00BF3D83" w:rsidRPr="000B6C1D" w:rsidRDefault="00BF3D83" w:rsidP="00F764B2">
      <w:pPr>
        <w:pStyle w:val="Odlomakpopisa"/>
        <w:widowControl w:val="0"/>
        <w:numPr>
          <w:ilvl w:val="0"/>
          <w:numId w:val="13"/>
        </w:numPr>
        <w:tabs>
          <w:tab w:val="left" w:pos="1134"/>
        </w:tabs>
        <w:autoSpaceDE w:val="0"/>
        <w:autoSpaceDN w:val="0"/>
        <w:spacing w:before="40"/>
        <w:ind w:left="426" w:hanging="426"/>
        <w:contextualSpacing w:val="0"/>
        <w:jc w:val="both"/>
      </w:pPr>
      <w:r w:rsidRPr="000B6C1D">
        <w:t xml:space="preserve">provedbu </w:t>
      </w:r>
      <w:proofErr w:type="spellStart"/>
      <w:r w:rsidRPr="000B6C1D">
        <w:t>izobrazno</w:t>
      </w:r>
      <w:proofErr w:type="spellEnd"/>
      <w:r w:rsidRPr="000B6C1D">
        <w:t>-informativnih aktivnosti</w:t>
      </w:r>
      <w:r w:rsidRPr="000B6C1D">
        <w:rPr>
          <w:spacing w:val="-1"/>
        </w:rPr>
        <w:t xml:space="preserve"> </w:t>
      </w:r>
      <w:r w:rsidRPr="000B6C1D">
        <w:t>te</w:t>
      </w:r>
    </w:p>
    <w:p w:rsidR="00BF3D83" w:rsidRPr="000B6C1D" w:rsidRDefault="00BF3D83" w:rsidP="008422F6">
      <w:pPr>
        <w:pStyle w:val="Odlomakpopisa"/>
        <w:widowControl w:val="0"/>
        <w:numPr>
          <w:ilvl w:val="0"/>
          <w:numId w:val="13"/>
        </w:numPr>
        <w:autoSpaceDE w:val="0"/>
        <w:autoSpaceDN w:val="0"/>
        <w:spacing w:before="37"/>
        <w:ind w:left="426" w:hanging="426"/>
        <w:contextualSpacing w:val="0"/>
        <w:jc w:val="both"/>
      </w:pPr>
      <w:r w:rsidRPr="000B6C1D">
        <w:t>provedbu akcija prikupljanja otpada u humanitarne i slične</w:t>
      </w:r>
      <w:r w:rsidRPr="000B6C1D">
        <w:rPr>
          <w:spacing w:val="-8"/>
        </w:rPr>
        <w:t xml:space="preserve"> </w:t>
      </w:r>
      <w:r w:rsidRPr="000B6C1D">
        <w:t>svrhe.</w:t>
      </w:r>
    </w:p>
    <w:p w:rsidR="00BF3D83" w:rsidRPr="000B6C1D" w:rsidRDefault="00BF3D83" w:rsidP="00BC123A">
      <w:pPr>
        <w:pStyle w:val="Tijeloteksta"/>
        <w:spacing w:before="6"/>
        <w:jc w:val="both"/>
        <w:rPr>
          <w:rFonts w:ascii="Times New Roman" w:hAnsi="Times New Roman" w:cs="Times New Roman"/>
          <w:sz w:val="28"/>
        </w:rPr>
      </w:pPr>
    </w:p>
    <w:p w:rsidR="00BF3D83" w:rsidRPr="000B6C1D" w:rsidRDefault="00BF3D83" w:rsidP="00BC123A">
      <w:pPr>
        <w:ind w:left="219"/>
        <w:jc w:val="both"/>
      </w:pPr>
      <w:r w:rsidRPr="000B6C1D">
        <w:t>Kvalitativni ciljevi gospodarenja otpadom koji se planiraju postići provedbom Plana su:</w:t>
      </w:r>
    </w:p>
    <w:p w:rsidR="00BF3D83" w:rsidRPr="000B6C1D" w:rsidRDefault="00BF3D83" w:rsidP="008422F6">
      <w:pPr>
        <w:pStyle w:val="Odlomakpopisa"/>
        <w:widowControl w:val="0"/>
        <w:numPr>
          <w:ilvl w:val="0"/>
          <w:numId w:val="13"/>
        </w:numPr>
        <w:tabs>
          <w:tab w:val="left" w:pos="426"/>
        </w:tabs>
        <w:autoSpaceDE w:val="0"/>
        <w:autoSpaceDN w:val="0"/>
        <w:spacing w:before="40"/>
        <w:ind w:left="932" w:hanging="932"/>
        <w:contextualSpacing w:val="0"/>
        <w:jc w:val="both"/>
      </w:pPr>
      <w:r w:rsidRPr="000B6C1D">
        <w:t>smanjenje količine proizvedenog komunalnog</w:t>
      </w:r>
      <w:r w:rsidRPr="000B6C1D">
        <w:rPr>
          <w:spacing w:val="-8"/>
        </w:rPr>
        <w:t xml:space="preserve"> </w:t>
      </w:r>
      <w:r w:rsidRPr="000B6C1D">
        <w:t>otpada</w:t>
      </w:r>
    </w:p>
    <w:p w:rsidR="00BF3D83" w:rsidRPr="000B6C1D" w:rsidRDefault="00BF3D83" w:rsidP="00BC123A">
      <w:pPr>
        <w:pStyle w:val="Odlomakpopisa"/>
        <w:widowControl w:val="0"/>
        <w:numPr>
          <w:ilvl w:val="0"/>
          <w:numId w:val="13"/>
        </w:numPr>
        <w:tabs>
          <w:tab w:val="left" w:pos="933"/>
        </w:tabs>
        <w:autoSpaceDE w:val="0"/>
        <w:autoSpaceDN w:val="0"/>
        <w:spacing w:before="37" w:line="276" w:lineRule="auto"/>
        <w:ind w:left="932" w:right="107"/>
        <w:contextualSpacing w:val="0"/>
        <w:jc w:val="both"/>
      </w:pPr>
      <w:r w:rsidRPr="000B6C1D">
        <w:lastRenderedPageBreak/>
        <w:t xml:space="preserve">povećanje stope odvojenog sakupljanja i stope pripreme za ponovnu uporabu i recikliranja odvojeno sakupljenog </w:t>
      </w:r>
      <w:proofErr w:type="spellStart"/>
      <w:r w:rsidRPr="000B6C1D">
        <w:t>reciklabilnog</w:t>
      </w:r>
      <w:proofErr w:type="spellEnd"/>
      <w:r w:rsidRPr="000B6C1D">
        <w:t xml:space="preserve"> komunalnog otpada i neopasnog građevnog</w:t>
      </w:r>
      <w:r w:rsidRPr="000B6C1D">
        <w:rPr>
          <w:spacing w:val="-23"/>
        </w:rPr>
        <w:t xml:space="preserve"> </w:t>
      </w:r>
      <w:r w:rsidRPr="000B6C1D">
        <w:t>otpada,</w:t>
      </w:r>
    </w:p>
    <w:p w:rsidR="00BF3D83" w:rsidRPr="000B6C1D" w:rsidRDefault="00BF3D83" w:rsidP="00BC123A">
      <w:pPr>
        <w:pStyle w:val="Odlomakpopisa"/>
        <w:widowControl w:val="0"/>
        <w:numPr>
          <w:ilvl w:val="0"/>
          <w:numId w:val="13"/>
        </w:numPr>
        <w:tabs>
          <w:tab w:val="left" w:pos="933"/>
        </w:tabs>
        <w:autoSpaceDE w:val="0"/>
        <w:autoSpaceDN w:val="0"/>
        <w:spacing w:line="252" w:lineRule="exact"/>
        <w:ind w:left="932"/>
        <w:contextualSpacing w:val="0"/>
        <w:jc w:val="both"/>
      </w:pPr>
      <w:r w:rsidRPr="000B6C1D">
        <w:t>smanjenje količine biorazgradivog komunalnog otpada koji se</w:t>
      </w:r>
      <w:r w:rsidRPr="000B6C1D">
        <w:rPr>
          <w:spacing w:val="-9"/>
        </w:rPr>
        <w:t xml:space="preserve"> </w:t>
      </w:r>
      <w:r w:rsidRPr="000B6C1D">
        <w:t>odlaže</w:t>
      </w:r>
    </w:p>
    <w:p w:rsidR="00BF3D83" w:rsidRPr="000B6C1D" w:rsidRDefault="00BF3D83" w:rsidP="00BC123A">
      <w:pPr>
        <w:pStyle w:val="Odlomakpopisa"/>
        <w:widowControl w:val="0"/>
        <w:numPr>
          <w:ilvl w:val="0"/>
          <w:numId w:val="13"/>
        </w:numPr>
        <w:tabs>
          <w:tab w:val="left" w:pos="933"/>
        </w:tabs>
        <w:autoSpaceDE w:val="0"/>
        <w:autoSpaceDN w:val="0"/>
        <w:spacing w:before="37"/>
        <w:ind w:left="932"/>
        <w:contextualSpacing w:val="0"/>
        <w:jc w:val="both"/>
      </w:pPr>
      <w:r w:rsidRPr="000B6C1D">
        <w:t>smanjenje ukupnih količina otpada koji se zbrinjava postupkom</w:t>
      </w:r>
      <w:r w:rsidRPr="000B6C1D">
        <w:rPr>
          <w:spacing w:val="-14"/>
        </w:rPr>
        <w:t xml:space="preserve"> </w:t>
      </w:r>
      <w:r w:rsidRPr="000B6C1D">
        <w:t>odlaganja</w:t>
      </w:r>
    </w:p>
    <w:p w:rsidR="00BF3D83" w:rsidRPr="000B6C1D" w:rsidRDefault="00BF3D83" w:rsidP="00BC123A">
      <w:pPr>
        <w:pStyle w:val="Odlomakpopisa"/>
        <w:widowControl w:val="0"/>
        <w:numPr>
          <w:ilvl w:val="0"/>
          <w:numId w:val="13"/>
        </w:numPr>
        <w:tabs>
          <w:tab w:val="left" w:pos="933"/>
        </w:tabs>
        <w:autoSpaceDE w:val="0"/>
        <w:autoSpaceDN w:val="0"/>
        <w:spacing w:before="40"/>
        <w:ind w:left="932"/>
        <w:contextualSpacing w:val="0"/>
        <w:jc w:val="both"/>
      </w:pPr>
      <w:r w:rsidRPr="000B6C1D">
        <w:t>bolja informiranost</w:t>
      </w:r>
      <w:r w:rsidRPr="000B6C1D">
        <w:rPr>
          <w:spacing w:val="-1"/>
        </w:rPr>
        <w:t xml:space="preserve"> </w:t>
      </w:r>
      <w:r w:rsidRPr="000B6C1D">
        <w:t>stanovništva</w:t>
      </w:r>
    </w:p>
    <w:p w:rsidR="00BF3D83" w:rsidRPr="000B6C1D" w:rsidRDefault="00BF3D83" w:rsidP="00BC123A">
      <w:pPr>
        <w:pStyle w:val="Odlomakpopisa"/>
        <w:widowControl w:val="0"/>
        <w:numPr>
          <w:ilvl w:val="0"/>
          <w:numId w:val="13"/>
        </w:numPr>
        <w:tabs>
          <w:tab w:val="left" w:pos="933"/>
        </w:tabs>
        <w:autoSpaceDE w:val="0"/>
        <w:autoSpaceDN w:val="0"/>
        <w:spacing w:before="38"/>
        <w:ind w:left="932"/>
        <w:contextualSpacing w:val="0"/>
        <w:jc w:val="both"/>
      </w:pPr>
      <w:r w:rsidRPr="000B6C1D">
        <w:t>veći broj akcija prikupljanja otpada</w:t>
      </w:r>
    </w:p>
    <w:p w:rsidR="00BF3D83" w:rsidRPr="000B6C1D" w:rsidRDefault="00BF3D83" w:rsidP="00BC123A">
      <w:pPr>
        <w:pStyle w:val="Odlomakpopisa"/>
        <w:widowControl w:val="0"/>
        <w:numPr>
          <w:ilvl w:val="0"/>
          <w:numId w:val="13"/>
        </w:numPr>
        <w:tabs>
          <w:tab w:val="left" w:pos="933"/>
        </w:tabs>
        <w:autoSpaceDE w:val="0"/>
        <w:autoSpaceDN w:val="0"/>
        <w:spacing w:before="37"/>
        <w:ind w:left="932" w:hanging="355"/>
        <w:contextualSpacing w:val="0"/>
        <w:jc w:val="both"/>
      </w:pPr>
      <w:r w:rsidRPr="000B6C1D">
        <w:t>veći doprinos postizanju ciljnih vrijednosti gospodarenja</w:t>
      </w:r>
      <w:r w:rsidRPr="000B6C1D">
        <w:rPr>
          <w:spacing w:val="-10"/>
        </w:rPr>
        <w:t xml:space="preserve"> </w:t>
      </w:r>
      <w:r w:rsidRPr="000B6C1D">
        <w:t>otpadom</w:t>
      </w:r>
    </w:p>
    <w:p w:rsidR="00BF3D83" w:rsidRPr="000B6C1D" w:rsidRDefault="00BF3D83" w:rsidP="00BC123A">
      <w:pPr>
        <w:pStyle w:val="Odlomakpopisa"/>
        <w:widowControl w:val="0"/>
        <w:numPr>
          <w:ilvl w:val="0"/>
          <w:numId w:val="13"/>
        </w:numPr>
        <w:tabs>
          <w:tab w:val="left" w:pos="933"/>
        </w:tabs>
        <w:autoSpaceDE w:val="0"/>
        <w:autoSpaceDN w:val="0"/>
        <w:spacing w:before="37"/>
        <w:ind w:left="932" w:hanging="355"/>
        <w:contextualSpacing w:val="0"/>
        <w:jc w:val="both"/>
      </w:pPr>
      <w:r w:rsidRPr="000B6C1D">
        <w:t>primjena šireg raspona mjera iz reda prvenstva gospodarenja</w:t>
      </w:r>
      <w:r w:rsidRPr="000B6C1D">
        <w:rPr>
          <w:spacing w:val="-13"/>
        </w:rPr>
        <w:t xml:space="preserve"> </w:t>
      </w:r>
      <w:r w:rsidRPr="000B6C1D">
        <w:t>otpadom</w:t>
      </w:r>
    </w:p>
    <w:p w:rsidR="00BF3D83" w:rsidRPr="000B6C1D" w:rsidRDefault="00BF3D83" w:rsidP="00BC123A">
      <w:pPr>
        <w:pStyle w:val="Odlomakpopisa"/>
        <w:widowControl w:val="0"/>
        <w:numPr>
          <w:ilvl w:val="0"/>
          <w:numId w:val="13"/>
        </w:numPr>
        <w:tabs>
          <w:tab w:val="left" w:pos="933"/>
        </w:tabs>
        <w:autoSpaceDE w:val="0"/>
        <w:autoSpaceDN w:val="0"/>
        <w:spacing w:before="40"/>
        <w:ind w:left="932" w:hanging="355"/>
        <w:contextualSpacing w:val="0"/>
        <w:jc w:val="both"/>
      </w:pPr>
      <w:r w:rsidRPr="000B6C1D">
        <w:t>pomicanje sustava prema višim redovima prvenstva u gospodarenju</w:t>
      </w:r>
      <w:r w:rsidRPr="000B6C1D">
        <w:rPr>
          <w:spacing w:val="-10"/>
        </w:rPr>
        <w:t xml:space="preserve"> </w:t>
      </w:r>
      <w:r w:rsidRPr="000B6C1D">
        <w:t>otpadom</w:t>
      </w:r>
    </w:p>
    <w:p w:rsidR="00BF3D83" w:rsidRPr="000B6C1D" w:rsidRDefault="00BF3D83" w:rsidP="00BC123A">
      <w:pPr>
        <w:pStyle w:val="Tijeloteksta"/>
        <w:spacing w:before="6"/>
        <w:jc w:val="both"/>
        <w:rPr>
          <w:rFonts w:ascii="Times New Roman" w:hAnsi="Times New Roman" w:cs="Times New Roman"/>
          <w:sz w:val="28"/>
        </w:rPr>
      </w:pPr>
    </w:p>
    <w:p w:rsidR="00F764B2" w:rsidRPr="000B6C1D" w:rsidRDefault="00F764B2" w:rsidP="00BC123A">
      <w:pPr>
        <w:spacing w:before="69"/>
        <w:ind w:left="218"/>
        <w:jc w:val="both"/>
        <w:rPr>
          <w:b/>
          <w:i/>
        </w:rPr>
      </w:pPr>
    </w:p>
    <w:p w:rsidR="00BF3D83" w:rsidRPr="000B6C1D" w:rsidRDefault="00BF3D83" w:rsidP="00BC123A">
      <w:pPr>
        <w:spacing w:before="69"/>
        <w:ind w:left="218"/>
        <w:jc w:val="both"/>
        <w:rPr>
          <w:b/>
          <w:i/>
          <w:sz w:val="22"/>
          <w:szCs w:val="22"/>
        </w:rPr>
      </w:pPr>
      <w:r w:rsidRPr="000B6C1D">
        <w:rPr>
          <w:b/>
          <w:i/>
          <w:sz w:val="22"/>
          <w:szCs w:val="22"/>
        </w:rPr>
        <w:t>Izrada Plana</w:t>
      </w:r>
    </w:p>
    <w:p w:rsidR="00BF3D83" w:rsidRPr="000B6C1D" w:rsidRDefault="00BF3D83" w:rsidP="00BC123A">
      <w:pPr>
        <w:pStyle w:val="Tijeloteksta"/>
        <w:spacing w:before="6"/>
        <w:jc w:val="both"/>
        <w:rPr>
          <w:rFonts w:ascii="Times New Roman" w:hAnsi="Times New Roman" w:cs="Times New Roman"/>
          <w:b/>
          <w:i/>
        </w:rPr>
      </w:pPr>
    </w:p>
    <w:p w:rsidR="00BF3D83" w:rsidRPr="000B6C1D" w:rsidRDefault="00BF3D83" w:rsidP="00BC123A">
      <w:pPr>
        <w:spacing w:line="276" w:lineRule="auto"/>
        <w:ind w:left="218" w:right="110"/>
        <w:jc w:val="both"/>
      </w:pPr>
      <w:r w:rsidRPr="000B6C1D">
        <w:t>Izrada Plana pokrenuta je za vrijeme važenja Plana gospodarenja otpadom Republike Hrvatske za razdoblje 2007. – 2015. godine (NN 85/07, 126/10, 31/11, 46/15), a započela je za vrijeme najave donošenja Plana gospodarenja otpadom Republike Hrvatske za razdoblje 2015. – 2021.</w:t>
      </w:r>
    </w:p>
    <w:p w:rsidR="00BF3D83" w:rsidRPr="000B6C1D" w:rsidRDefault="00BF3D83" w:rsidP="00BC123A">
      <w:pPr>
        <w:spacing w:before="200" w:line="276" w:lineRule="auto"/>
        <w:ind w:left="218" w:right="106"/>
        <w:jc w:val="both"/>
      </w:pPr>
      <w:r w:rsidRPr="000B6C1D">
        <w:t>Bitni uvjeti za dovršetak nacrta prijedloga Plana ostvareni su tek u svibnju 2017. godine, kada je započelo i završno usklađivanje Plana s propisima i dokumentima više razine.</w:t>
      </w:r>
    </w:p>
    <w:p w:rsidR="00BF3D83" w:rsidRPr="000B6C1D" w:rsidRDefault="00BF3D83" w:rsidP="00BC123A">
      <w:pPr>
        <w:spacing w:before="1" w:line="276" w:lineRule="auto"/>
        <w:ind w:left="217" w:right="107"/>
        <w:jc w:val="both"/>
      </w:pPr>
      <w:r w:rsidRPr="000B6C1D">
        <w:t xml:space="preserve">Naime, nakon neuspješnog donošenja </w:t>
      </w:r>
      <w:r w:rsidRPr="000B6C1D">
        <w:rPr>
          <w:i/>
        </w:rPr>
        <w:t xml:space="preserve">Plana gospodarenja otpadom Republike Hrvatske za razdoblje 2015. – 2021. godine </w:t>
      </w:r>
      <w:r w:rsidRPr="000B6C1D">
        <w:t xml:space="preserve">i </w:t>
      </w:r>
      <w:r w:rsidRPr="000B6C1D">
        <w:rPr>
          <w:i/>
        </w:rPr>
        <w:t>Plana gospodarenja otpadom Republike Hrvatske za razdoblje 2016. – 2022. godine</w:t>
      </w:r>
      <w:r w:rsidRPr="000B6C1D">
        <w:t xml:space="preserve">, </w:t>
      </w:r>
      <w:r w:rsidRPr="000B6C1D">
        <w:rPr>
          <w:i/>
        </w:rPr>
        <w:t xml:space="preserve">Odluka o donošenju Plana gospodarenja otpadom Republike Hrvatske za razdoblje 2017. – 2022. godine (NN 3/17) </w:t>
      </w:r>
      <w:r w:rsidRPr="000B6C1D">
        <w:t>donesena je u siječnju 2017. godine, 3 godine nakon isteka zakonskog roka.</w:t>
      </w:r>
    </w:p>
    <w:p w:rsidR="00BF3D83" w:rsidRPr="000B6C1D" w:rsidRDefault="00BF3D83" w:rsidP="00BC123A">
      <w:pPr>
        <w:pStyle w:val="Tijeloteksta"/>
        <w:spacing w:before="2"/>
        <w:jc w:val="both"/>
        <w:rPr>
          <w:rFonts w:ascii="Times New Roman" w:hAnsi="Times New Roman" w:cs="Times New Roman"/>
          <w:sz w:val="25"/>
        </w:rPr>
      </w:pPr>
    </w:p>
    <w:p w:rsidR="00BF3D83" w:rsidRPr="000B6C1D" w:rsidRDefault="00BF3D83" w:rsidP="00BC123A">
      <w:pPr>
        <w:pStyle w:val="Naslov5"/>
        <w:spacing w:before="1" w:line="276" w:lineRule="auto"/>
        <w:ind w:left="217" w:right="107"/>
        <w:jc w:val="both"/>
        <w:rPr>
          <w:rFonts w:ascii="Times New Roman" w:hAnsi="Times New Roman" w:cs="Times New Roman"/>
          <w:color w:val="auto"/>
        </w:rPr>
      </w:pPr>
      <w:r w:rsidRPr="000B6C1D">
        <w:rPr>
          <w:rFonts w:ascii="Times New Roman" w:hAnsi="Times New Roman" w:cs="Times New Roman"/>
          <w:color w:val="auto"/>
        </w:rPr>
        <w:t xml:space="preserve">Uz obrazloženje da je to potrebno kako bi se osigurala lakša i brža provedba i praćenje Plana na lokalnoj, regionalnoj i nacionalnoj razini, te omogućilo bolje korištenje EU sredstava osiguranih za provođenje mjera za gospodarenje otpadom, u svibnju 2017. godine Vlada RH donijela je </w:t>
      </w:r>
      <w:r w:rsidRPr="000B6C1D">
        <w:rPr>
          <w:rFonts w:ascii="Times New Roman" w:hAnsi="Times New Roman" w:cs="Times New Roman"/>
          <w:i/>
          <w:color w:val="auto"/>
        </w:rPr>
        <w:t xml:space="preserve">Odluku o implementaciju Plana gospodarenja otpadom RH 2017. - 2022. godine </w:t>
      </w:r>
      <w:r w:rsidRPr="000B6C1D">
        <w:rPr>
          <w:rFonts w:ascii="Times New Roman" w:hAnsi="Times New Roman" w:cs="Times New Roman"/>
          <w:color w:val="auto"/>
        </w:rPr>
        <w:t>kojom su dodatno razrađene potrebne aktivnosti i rokovi za realizaciju mjera određenih nacionalnim planom.</w:t>
      </w:r>
    </w:p>
    <w:p w:rsidR="00BF3D83" w:rsidRPr="000B6C1D" w:rsidRDefault="00BF3D83" w:rsidP="00BC123A">
      <w:pPr>
        <w:spacing w:line="276" w:lineRule="auto"/>
        <w:ind w:left="218" w:right="108"/>
        <w:jc w:val="both"/>
      </w:pPr>
      <w:r w:rsidRPr="000B6C1D">
        <w:t xml:space="preserve">Na istoj sjednici Vlade RH, temeljem odredbe iz članka 29. stavak 10. Zakona, donesena je i </w:t>
      </w:r>
      <w:r w:rsidRPr="000B6C1D">
        <w:rPr>
          <w:i/>
        </w:rPr>
        <w:t xml:space="preserve">Uredba o gospodarenju komunalnim otpadom (NN 50/17) </w:t>
      </w:r>
      <w:r w:rsidRPr="000B6C1D">
        <w:t xml:space="preserve">kojom je propisan dodatni sadržaj odluke o načinu pružanja javne usluge, način gospodarenja komunalnim otpadom u vezi s javnom uslugom prikupljanja miješanog komunalnog otpada i biorazgradivog komunalnog otpada te odvojenog prikupljanja otpadnog papira, metala, stakla, plastike, tekstila, problematičnog otpada i krupnog (glomaznog) otpada, prostorni razmještaj </w:t>
      </w:r>
      <w:proofErr w:type="spellStart"/>
      <w:r w:rsidRPr="000B6C1D">
        <w:t>reciklažnih</w:t>
      </w:r>
      <w:proofErr w:type="spellEnd"/>
      <w:r w:rsidRPr="000B6C1D">
        <w:t xml:space="preserve"> dvorišta, način izračuna granične količine miješanog komunalnog otpada za određena razdoblja, način i uvjeti određivanja i obračuna naknade za gradnju građevina za gospodarenje komunalnim otpadom i način obračuna poticajne naknade za smanjenje količine miješanog komunalnog</w:t>
      </w:r>
      <w:r w:rsidRPr="000B6C1D">
        <w:rPr>
          <w:spacing w:val="-12"/>
        </w:rPr>
        <w:t xml:space="preserve"> </w:t>
      </w:r>
      <w:r w:rsidRPr="000B6C1D">
        <w:t>otpada.</w:t>
      </w:r>
    </w:p>
    <w:p w:rsidR="00BF3D83" w:rsidRPr="000B6C1D" w:rsidRDefault="00BF3D83" w:rsidP="00BC123A">
      <w:pPr>
        <w:pStyle w:val="Tijeloteksta"/>
        <w:spacing w:before="2"/>
        <w:jc w:val="both"/>
        <w:rPr>
          <w:rFonts w:ascii="Times New Roman" w:hAnsi="Times New Roman" w:cs="Times New Roman"/>
          <w:sz w:val="25"/>
        </w:rPr>
      </w:pPr>
    </w:p>
    <w:p w:rsidR="00BF3D83" w:rsidRPr="000B6C1D" w:rsidRDefault="00BF3D83" w:rsidP="00BC123A">
      <w:pPr>
        <w:spacing w:line="276" w:lineRule="auto"/>
        <w:ind w:left="218" w:right="106"/>
        <w:jc w:val="both"/>
      </w:pPr>
      <w:r w:rsidRPr="000B6C1D">
        <w:lastRenderedPageBreak/>
        <w:t>U pogledu rješenja, sadržaja i opsega podataka u ovom planu potrebno je naglasiti da, u svrhu podrške jedinicama lokalne samouprave (JLS) u izradi planova gospodarenja otpadom, PGO RH predviđa izradu smjernica za njihovu pripremu. Smjernice bi trebale pomoći u planiranju sustava gospodarenja otpadom i promicati razvoj koherentnih odgovarajućih praksi u planiranju na području RH, a u skladu sa zahtjevima relevantnog zakonodavstva. Do završetka izrade ovog prijedloga smjernice nisu</w:t>
      </w:r>
      <w:r w:rsidRPr="000B6C1D">
        <w:rPr>
          <w:spacing w:val="-5"/>
        </w:rPr>
        <w:t xml:space="preserve"> </w:t>
      </w:r>
      <w:r w:rsidRPr="000B6C1D">
        <w:t>donesene.</w:t>
      </w:r>
    </w:p>
    <w:p w:rsidR="00BF3D83" w:rsidRPr="000B6C1D" w:rsidRDefault="00BF3D83" w:rsidP="00BC123A">
      <w:pPr>
        <w:pStyle w:val="Tijeloteksta"/>
        <w:spacing w:before="4"/>
        <w:jc w:val="both"/>
        <w:rPr>
          <w:rFonts w:ascii="Times New Roman" w:hAnsi="Times New Roman" w:cs="Times New Roman"/>
          <w:sz w:val="25"/>
        </w:rPr>
      </w:pPr>
    </w:p>
    <w:p w:rsidR="00BF3D83" w:rsidRPr="000B6C1D" w:rsidRDefault="00BF3D83" w:rsidP="00BC123A">
      <w:pPr>
        <w:pStyle w:val="Tijeloteksta"/>
        <w:spacing w:before="3"/>
        <w:jc w:val="both"/>
        <w:rPr>
          <w:rFonts w:ascii="Times New Roman" w:hAnsi="Times New Roman" w:cs="Times New Roman"/>
          <w:sz w:val="25"/>
        </w:rPr>
      </w:pPr>
    </w:p>
    <w:p w:rsidR="00BF3D83" w:rsidRPr="000B6C1D" w:rsidRDefault="00BF3D83" w:rsidP="00BC123A">
      <w:pPr>
        <w:spacing w:line="276" w:lineRule="auto"/>
        <w:ind w:left="218" w:right="108"/>
        <w:jc w:val="both"/>
      </w:pPr>
      <w:r w:rsidRPr="000B6C1D">
        <w:t>Tijekom rada na Planu doneseni su novi ili promijenjeni slijedeći relevantni propisi iz područja gospodarenja otpadom:</w:t>
      </w:r>
    </w:p>
    <w:p w:rsidR="00BF3D83" w:rsidRPr="000B6C1D" w:rsidRDefault="00BF3D83" w:rsidP="00BC123A">
      <w:pPr>
        <w:pStyle w:val="Odlomakpopisa"/>
        <w:widowControl w:val="0"/>
        <w:numPr>
          <w:ilvl w:val="0"/>
          <w:numId w:val="13"/>
        </w:numPr>
        <w:tabs>
          <w:tab w:val="left" w:pos="932"/>
        </w:tabs>
        <w:autoSpaceDE w:val="0"/>
        <w:autoSpaceDN w:val="0"/>
        <w:spacing w:line="252" w:lineRule="exact"/>
        <w:contextualSpacing w:val="0"/>
        <w:jc w:val="both"/>
      </w:pPr>
      <w:r w:rsidRPr="000B6C1D">
        <w:t>Pravilnik o ambalaži i otpadnoj ambalaži (NN 88/15, 78/16</w:t>
      </w:r>
      <w:r w:rsidR="00087185">
        <w:t>, 116/17</w:t>
      </w:r>
      <w:r w:rsidRPr="000B6C1D">
        <w:t>),</w:t>
      </w:r>
    </w:p>
    <w:p w:rsidR="00BF3D83" w:rsidRPr="000B6C1D" w:rsidRDefault="00BF3D83" w:rsidP="00BC123A">
      <w:pPr>
        <w:pStyle w:val="Odlomakpopisa"/>
        <w:widowControl w:val="0"/>
        <w:numPr>
          <w:ilvl w:val="0"/>
          <w:numId w:val="13"/>
        </w:numPr>
        <w:tabs>
          <w:tab w:val="left" w:pos="932"/>
        </w:tabs>
        <w:autoSpaceDE w:val="0"/>
        <w:autoSpaceDN w:val="0"/>
        <w:spacing w:before="38"/>
        <w:ind w:hanging="355"/>
        <w:contextualSpacing w:val="0"/>
        <w:jc w:val="both"/>
      </w:pPr>
      <w:r w:rsidRPr="000B6C1D">
        <w:t>Naputak o glomaznom otpadu (NN</w:t>
      </w:r>
      <w:r w:rsidRPr="000B6C1D">
        <w:rPr>
          <w:spacing w:val="-1"/>
        </w:rPr>
        <w:t xml:space="preserve"> </w:t>
      </w:r>
      <w:r w:rsidRPr="000B6C1D">
        <w:t>79/15),</w:t>
      </w:r>
    </w:p>
    <w:p w:rsidR="00BF3D83" w:rsidRPr="000B6C1D" w:rsidRDefault="00BF3D83" w:rsidP="00BC123A">
      <w:pPr>
        <w:pStyle w:val="Odlomakpopisa"/>
        <w:widowControl w:val="0"/>
        <w:numPr>
          <w:ilvl w:val="0"/>
          <w:numId w:val="13"/>
        </w:numPr>
        <w:tabs>
          <w:tab w:val="left" w:pos="932"/>
        </w:tabs>
        <w:autoSpaceDE w:val="0"/>
        <w:autoSpaceDN w:val="0"/>
        <w:spacing w:before="39"/>
        <w:ind w:hanging="355"/>
        <w:contextualSpacing w:val="0"/>
        <w:jc w:val="both"/>
      </w:pPr>
      <w:r w:rsidRPr="000B6C1D">
        <w:t>Odluka o područjima sakupljanja neopasne otpadne ambalaže (NN</w:t>
      </w:r>
      <w:r w:rsidRPr="000B6C1D">
        <w:rPr>
          <w:spacing w:val="-13"/>
        </w:rPr>
        <w:t xml:space="preserve"> </w:t>
      </w:r>
      <w:r w:rsidRPr="000B6C1D">
        <w:t>88/15),</w:t>
      </w:r>
    </w:p>
    <w:p w:rsidR="00BF3D83" w:rsidRPr="000B6C1D" w:rsidRDefault="00BF3D83" w:rsidP="00BC123A">
      <w:pPr>
        <w:pStyle w:val="Odlomakpopisa"/>
        <w:widowControl w:val="0"/>
        <w:numPr>
          <w:ilvl w:val="0"/>
          <w:numId w:val="13"/>
        </w:numPr>
        <w:tabs>
          <w:tab w:val="left" w:pos="932"/>
        </w:tabs>
        <w:autoSpaceDE w:val="0"/>
        <w:autoSpaceDN w:val="0"/>
        <w:spacing w:before="38"/>
        <w:ind w:hanging="355"/>
        <w:contextualSpacing w:val="0"/>
        <w:jc w:val="both"/>
      </w:pPr>
      <w:r w:rsidRPr="000B6C1D">
        <w:t>Pravilnik o katalogu otpada (NN</w:t>
      </w:r>
      <w:r w:rsidRPr="000B6C1D">
        <w:rPr>
          <w:spacing w:val="-4"/>
        </w:rPr>
        <w:t xml:space="preserve"> </w:t>
      </w:r>
      <w:r w:rsidRPr="000B6C1D">
        <w:t>90/15),</w:t>
      </w:r>
    </w:p>
    <w:p w:rsidR="00BF3D83" w:rsidRPr="000B6C1D" w:rsidRDefault="00BF3D83" w:rsidP="00BC123A">
      <w:pPr>
        <w:pStyle w:val="Odlomakpopisa"/>
        <w:widowControl w:val="0"/>
        <w:numPr>
          <w:ilvl w:val="0"/>
          <w:numId w:val="13"/>
        </w:numPr>
        <w:tabs>
          <w:tab w:val="left" w:pos="932"/>
        </w:tabs>
        <w:autoSpaceDE w:val="0"/>
        <w:autoSpaceDN w:val="0"/>
        <w:spacing w:before="37"/>
        <w:ind w:hanging="355"/>
        <w:contextualSpacing w:val="0"/>
        <w:jc w:val="both"/>
      </w:pPr>
      <w:r w:rsidRPr="000B6C1D">
        <w:t>Uredba o gospodarenju otpadnom ambalažom (NN</w:t>
      </w:r>
      <w:r w:rsidRPr="000B6C1D">
        <w:rPr>
          <w:spacing w:val="-8"/>
        </w:rPr>
        <w:t xml:space="preserve"> </w:t>
      </w:r>
      <w:r w:rsidRPr="000B6C1D">
        <w:t>97/15),</w:t>
      </w:r>
    </w:p>
    <w:p w:rsidR="00BF3D83" w:rsidRPr="000B6C1D" w:rsidRDefault="00BF3D83" w:rsidP="00BC123A">
      <w:pPr>
        <w:pStyle w:val="Odlomakpopisa"/>
        <w:widowControl w:val="0"/>
        <w:numPr>
          <w:ilvl w:val="0"/>
          <w:numId w:val="13"/>
        </w:numPr>
        <w:tabs>
          <w:tab w:val="left" w:pos="932"/>
        </w:tabs>
        <w:autoSpaceDE w:val="0"/>
        <w:autoSpaceDN w:val="0"/>
        <w:spacing w:before="37"/>
        <w:ind w:hanging="355"/>
        <w:contextualSpacing w:val="0"/>
        <w:jc w:val="both"/>
      </w:pPr>
      <w:r w:rsidRPr="000B6C1D">
        <w:t>Pravilnik o gospodarenju otpadnim tekstilom i otpadnom obućom (NN</w:t>
      </w:r>
      <w:r w:rsidRPr="000B6C1D">
        <w:rPr>
          <w:spacing w:val="-12"/>
        </w:rPr>
        <w:t xml:space="preserve"> </w:t>
      </w:r>
      <w:r w:rsidRPr="000B6C1D">
        <w:t>99/15),</w:t>
      </w:r>
    </w:p>
    <w:p w:rsidR="00BF3D83" w:rsidRPr="000B6C1D" w:rsidRDefault="00BF3D83" w:rsidP="00BC123A">
      <w:pPr>
        <w:pStyle w:val="Odlomakpopisa"/>
        <w:widowControl w:val="0"/>
        <w:numPr>
          <w:ilvl w:val="0"/>
          <w:numId w:val="13"/>
        </w:numPr>
        <w:tabs>
          <w:tab w:val="left" w:pos="932"/>
        </w:tabs>
        <w:autoSpaceDE w:val="0"/>
        <w:autoSpaceDN w:val="0"/>
        <w:spacing w:before="40"/>
        <w:ind w:hanging="355"/>
        <w:contextualSpacing w:val="0"/>
        <w:jc w:val="both"/>
      </w:pPr>
      <w:r w:rsidRPr="000B6C1D">
        <w:t>Uredba o gospodarenju otpadnim baterijama i akumulatorima (NN</w:t>
      </w:r>
      <w:r w:rsidRPr="000B6C1D">
        <w:rPr>
          <w:spacing w:val="-13"/>
        </w:rPr>
        <w:t xml:space="preserve"> </w:t>
      </w:r>
      <w:r w:rsidRPr="000B6C1D">
        <w:t>105/15),</w:t>
      </w:r>
    </w:p>
    <w:p w:rsidR="00BF3D83" w:rsidRPr="000B6C1D" w:rsidRDefault="00BF3D83" w:rsidP="00BC123A">
      <w:pPr>
        <w:pStyle w:val="Odlomakpopisa"/>
        <w:widowControl w:val="0"/>
        <w:numPr>
          <w:ilvl w:val="0"/>
          <w:numId w:val="13"/>
        </w:numPr>
        <w:tabs>
          <w:tab w:val="left" w:pos="932"/>
        </w:tabs>
        <w:autoSpaceDE w:val="0"/>
        <w:autoSpaceDN w:val="0"/>
        <w:spacing w:before="38"/>
        <w:ind w:hanging="355"/>
        <w:contextualSpacing w:val="0"/>
        <w:jc w:val="both"/>
      </w:pPr>
      <w:r w:rsidRPr="000B6C1D">
        <w:t>Pravilnik o baterijama i akumulatorima i otpadnim baterijama i akumulatorima (NN</w:t>
      </w:r>
      <w:r w:rsidRPr="000B6C1D">
        <w:rPr>
          <w:spacing w:val="-36"/>
        </w:rPr>
        <w:t xml:space="preserve"> </w:t>
      </w:r>
      <w:r w:rsidRPr="000B6C1D">
        <w:t>111/15),</w:t>
      </w:r>
    </w:p>
    <w:p w:rsidR="00BF3D83" w:rsidRPr="000B6C1D" w:rsidRDefault="00BF3D83" w:rsidP="00BC123A">
      <w:pPr>
        <w:pStyle w:val="Odlomakpopisa"/>
        <w:widowControl w:val="0"/>
        <w:numPr>
          <w:ilvl w:val="0"/>
          <w:numId w:val="13"/>
        </w:numPr>
        <w:tabs>
          <w:tab w:val="left" w:pos="932"/>
        </w:tabs>
        <w:autoSpaceDE w:val="0"/>
        <w:autoSpaceDN w:val="0"/>
        <w:spacing w:before="37"/>
        <w:ind w:hanging="355"/>
        <w:contextualSpacing w:val="0"/>
        <w:jc w:val="both"/>
      </w:pPr>
      <w:r w:rsidRPr="000B6C1D">
        <w:t>Uredba o gospodarenju otpadnim vozilima</w:t>
      </w:r>
      <w:r w:rsidRPr="000B6C1D">
        <w:rPr>
          <w:spacing w:val="-6"/>
        </w:rPr>
        <w:t xml:space="preserve"> </w:t>
      </w:r>
      <w:r w:rsidRPr="000B6C1D">
        <w:t>(112/15),</w:t>
      </w:r>
    </w:p>
    <w:p w:rsidR="00BF3D83" w:rsidRPr="000B6C1D" w:rsidRDefault="00BF3D83" w:rsidP="00BC123A">
      <w:pPr>
        <w:pStyle w:val="Odlomakpopisa"/>
        <w:widowControl w:val="0"/>
        <w:numPr>
          <w:ilvl w:val="0"/>
          <w:numId w:val="13"/>
        </w:numPr>
        <w:tabs>
          <w:tab w:val="left" w:pos="932"/>
        </w:tabs>
        <w:autoSpaceDE w:val="0"/>
        <w:autoSpaceDN w:val="0"/>
        <w:spacing w:before="69"/>
        <w:ind w:hanging="355"/>
        <w:contextualSpacing w:val="0"/>
        <w:jc w:val="both"/>
      </w:pPr>
      <w:r w:rsidRPr="000B6C1D">
        <w:t>Pravilnik o gospodarenju otpadom (NN 121/15 i</w:t>
      </w:r>
      <w:r w:rsidRPr="000B6C1D">
        <w:rPr>
          <w:spacing w:val="-10"/>
        </w:rPr>
        <w:t xml:space="preserve"> </w:t>
      </w:r>
      <w:r w:rsidRPr="000B6C1D">
        <w:t>132/15</w:t>
      </w:r>
      <w:r w:rsidR="00087185">
        <w:t>,117/17</w:t>
      </w:r>
      <w:r w:rsidRPr="000B6C1D">
        <w:t>),</w:t>
      </w:r>
    </w:p>
    <w:p w:rsidR="00BF3D83" w:rsidRPr="000B6C1D" w:rsidRDefault="00BF3D83" w:rsidP="00BC123A">
      <w:pPr>
        <w:pStyle w:val="Odlomakpopisa"/>
        <w:widowControl w:val="0"/>
        <w:numPr>
          <w:ilvl w:val="0"/>
          <w:numId w:val="13"/>
        </w:numPr>
        <w:tabs>
          <w:tab w:val="left" w:pos="932"/>
        </w:tabs>
        <w:autoSpaceDE w:val="0"/>
        <w:autoSpaceDN w:val="0"/>
        <w:spacing w:before="37" w:line="276" w:lineRule="auto"/>
        <w:ind w:right="109" w:hanging="355"/>
        <w:contextualSpacing w:val="0"/>
        <w:jc w:val="both"/>
      </w:pPr>
      <w:r w:rsidRPr="000B6C1D">
        <w:t>Pravilnik o načinima i uvjetima odlaganja otpada, kategorijama i uvjetima rada za odlagališta otpada (NN</w:t>
      </w:r>
      <w:r w:rsidRPr="000B6C1D">
        <w:rPr>
          <w:spacing w:val="-3"/>
        </w:rPr>
        <w:t xml:space="preserve"> </w:t>
      </w:r>
      <w:r w:rsidRPr="000B6C1D">
        <w:t>114/15),</w:t>
      </w:r>
    </w:p>
    <w:p w:rsidR="00BF3D83" w:rsidRPr="000B6C1D" w:rsidRDefault="00BF3D83" w:rsidP="00BC123A">
      <w:pPr>
        <w:pStyle w:val="Odlomakpopisa"/>
        <w:widowControl w:val="0"/>
        <w:numPr>
          <w:ilvl w:val="0"/>
          <w:numId w:val="13"/>
        </w:numPr>
        <w:tabs>
          <w:tab w:val="left" w:pos="932"/>
        </w:tabs>
        <w:autoSpaceDE w:val="0"/>
        <w:autoSpaceDN w:val="0"/>
        <w:spacing w:line="252" w:lineRule="exact"/>
        <w:ind w:hanging="355"/>
        <w:contextualSpacing w:val="0"/>
        <w:jc w:val="both"/>
      </w:pPr>
      <w:r w:rsidRPr="000B6C1D">
        <w:t>Pravilnik o gospodarenju otpadnim vozilima (NN 125/15,</w:t>
      </w:r>
      <w:r w:rsidRPr="000B6C1D">
        <w:rPr>
          <w:spacing w:val="-11"/>
        </w:rPr>
        <w:t xml:space="preserve"> </w:t>
      </w:r>
      <w:r w:rsidRPr="000B6C1D">
        <w:t>90/16),</w:t>
      </w:r>
    </w:p>
    <w:p w:rsidR="00BF3D83" w:rsidRPr="000B6C1D" w:rsidRDefault="00BF3D83" w:rsidP="00BC123A">
      <w:pPr>
        <w:pStyle w:val="Odlomakpopisa"/>
        <w:widowControl w:val="0"/>
        <w:numPr>
          <w:ilvl w:val="0"/>
          <w:numId w:val="13"/>
        </w:numPr>
        <w:tabs>
          <w:tab w:val="left" w:pos="932"/>
        </w:tabs>
        <w:autoSpaceDE w:val="0"/>
        <w:autoSpaceDN w:val="0"/>
        <w:spacing w:before="40"/>
        <w:ind w:hanging="355"/>
        <w:contextualSpacing w:val="0"/>
        <w:jc w:val="both"/>
      </w:pPr>
      <w:r w:rsidRPr="000B6C1D">
        <w:t>Pravilnik o građevnom otpadu i otpadu koji sadrži azbest (NN</w:t>
      </w:r>
      <w:r w:rsidRPr="000B6C1D">
        <w:rPr>
          <w:spacing w:val="-10"/>
        </w:rPr>
        <w:t xml:space="preserve"> </w:t>
      </w:r>
      <w:r w:rsidRPr="000B6C1D">
        <w:t>69/16),</w:t>
      </w:r>
    </w:p>
    <w:p w:rsidR="00BF3D83" w:rsidRPr="000B6C1D" w:rsidRDefault="00BF3D83" w:rsidP="00BC123A">
      <w:pPr>
        <w:pStyle w:val="Odlomakpopisa"/>
        <w:widowControl w:val="0"/>
        <w:numPr>
          <w:ilvl w:val="0"/>
          <w:numId w:val="13"/>
        </w:numPr>
        <w:tabs>
          <w:tab w:val="left" w:pos="932"/>
        </w:tabs>
        <w:autoSpaceDE w:val="0"/>
        <w:autoSpaceDN w:val="0"/>
        <w:spacing w:before="37"/>
        <w:ind w:hanging="355"/>
        <w:contextualSpacing w:val="0"/>
        <w:jc w:val="both"/>
      </w:pPr>
      <w:r w:rsidRPr="000B6C1D">
        <w:t>Pravilnik o termičkoj obradi otpada (NN</w:t>
      </w:r>
      <w:r w:rsidRPr="000B6C1D">
        <w:rPr>
          <w:spacing w:val="-3"/>
        </w:rPr>
        <w:t xml:space="preserve"> </w:t>
      </w:r>
      <w:r w:rsidRPr="000B6C1D">
        <w:t>75/16),</w:t>
      </w:r>
    </w:p>
    <w:p w:rsidR="00BF3D83" w:rsidRPr="000B6C1D" w:rsidRDefault="00BF3D83" w:rsidP="00BC123A">
      <w:pPr>
        <w:pStyle w:val="Odlomakpopisa"/>
        <w:widowControl w:val="0"/>
        <w:numPr>
          <w:ilvl w:val="0"/>
          <w:numId w:val="13"/>
        </w:numPr>
        <w:tabs>
          <w:tab w:val="left" w:pos="932"/>
        </w:tabs>
        <w:autoSpaceDE w:val="0"/>
        <w:autoSpaceDN w:val="0"/>
        <w:spacing w:before="37"/>
        <w:ind w:hanging="355"/>
        <w:contextualSpacing w:val="0"/>
        <w:jc w:val="both"/>
      </w:pPr>
      <w:r w:rsidRPr="000B6C1D">
        <w:t>Pravilnik o gospodarenju otpadnim gumama (NN</w:t>
      </w:r>
      <w:r w:rsidRPr="000B6C1D">
        <w:rPr>
          <w:spacing w:val="-15"/>
        </w:rPr>
        <w:t xml:space="preserve"> </w:t>
      </w:r>
      <w:r w:rsidRPr="000B6C1D">
        <w:t>113/16),</w:t>
      </w:r>
    </w:p>
    <w:p w:rsidR="00BF3D83" w:rsidRPr="000B6C1D" w:rsidRDefault="00BF3D83" w:rsidP="00BC123A">
      <w:pPr>
        <w:pStyle w:val="Odlomakpopisa"/>
        <w:widowControl w:val="0"/>
        <w:numPr>
          <w:ilvl w:val="0"/>
          <w:numId w:val="13"/>
        </w:numPr>
        <w:tabs>
          <w:tab w:val="left" w:pos="932"/>
        </w:tabs>
        <w:autoSpaceDE w:val="0"/>
        <w:autoSpaceDN w:val="0"/>
        <w:spacing w:before="38"/>
        <w:ind w:hanging="355"/>
        <w:contextualSpacing w:val="0"/>
        <w:jc w:val="both"/>
      </w:pPr>
      <w:r w:rsidRPr="000B6C1D">
        <w:t>Uredba o gospodarenju komunalnim otpadom (NN</w:t>
      </w:r>
      <w:r w:rsidRPr="000B6C1D">
        <w:rPr>
          <w:spacing w:val="-8"/>
        </w:rPr>
        <w:t xml:space="preserve"> </w:t>
      </w:r>
      <w:r w:rsidRPr="000B6C1D">
        <w:t>50/17),</w:t>
      </w:r>
    </w:p>
    <w:p w:rsidR="00BF3D83" w:rsidRPr="000B6C1D" w:rsidRDefault="00BF3D83" w:rsidP="00BC123A">
      <w:pPr>
        <w:pStyle w:val="Odlomakpopisa"/>
        <w:widowControl w:val="0"/>
        <w:numPr>
          <w:ilvl w:val="0"/>
          <w:numId w:val="13"/>
        </w:numPr>
        <w:tabs>
          <w:tab w:val="left" w:pos="932"/>
        </w:tabs>
        <w:autoSpaceDE w:val="0"/>
        <w:autoSpaceDN w:val="0"/>
        <w:spacing w:before="37"/>
        <w:ind w:hanging="355"/>
        <w:contextualSpacing w:val="0"/>
        <w:jc w:val="both"/>
      </w:pPr>
      <w:r w:rsidRPr="000B6C1D">
        <w:t>Zakon o izmjenama i dopunama Zakona o održivom gospodarenju otpadom (NN</w:t>
      </w:r>
      <w:r w:rsidRPr="000B6C1D">
        <w:rPr>
          <w:spacing w:val="-24"/>
        </w:rPr>
        <w:t xml:space="preserve"> </w:t>
      </w:r>
      <w:r w:rsidRPr="000B6C1D">
        <w:t>73/17).</w:t>
      </w:r>
    </w:p>
    <w:p w:rsidR="00F764B2" w:rsidRPr="000B6C1D" w:rsidRDefault="00F764B2" w:rsidP="00BC123A">
      <w:pPr>
        <w:spacing w:before="79" w:line="276" w:lineRule="auto"/>
        <w:ind w:left="218" w:right="109"/>
        <w:jc w:val="both"/>
        <w:rPr>
          <w:b/>
          <w:i/>
        </w:rPr>
      </w:pPr>
    </w:p>
    <w:p w:rsidR="00BF3D83" w:rsidRPr="000B6C1D" w:rsidRDefault="00BF3D83" w:rsidP="00BC123A">
      <w:pPr>
        <w:spacing w:before="79" w:line="276" w:lineRule="auto"/>
        <w:ind w:left="218" w:right="109"/>
        <w:jc w:val="both"/>
        <w:rPr>
          <w:b/>
          <w:i/>
        </w:rPr>
      </w:pPr>
      <w:r w:rsidRPr="000B6C1D">
        <w:rPr>
          <w:b/>
          <w:i/>
        </w:rPr>
        <w:t xml:space="preserve">Prethodni postupak ocjene o potrebi </w:t>
      </w:r>
      <w:r w:rsidR="00D75E74" w:rsidRPr="000B6C1D">
        <w:rPr>
          <w:b/>
          <w:i/>
        </w:rPr>
        <w:t xml:space="preserve">strateške </w:t>
      </w:r>
      <w:r w:rsidR="001307C7" w:rsidRPr="000B6C1D">
        <w:rPr>
          <w:b/>
          <w:i/>
        </w:rPr>
        <w:t xml:space="preserve">procjene utjecaja na okoliš </w:t>
      </w:r>
    </w:p>
    <w:p w:rsidR="00BF3D83" w:rsidRPr="000B6C1D" w:rsidRDefault="00BF3D83" w:rsidP="00BC123A">
      <w:pPr>
        <w:spacing w:before="198" w:line="276" w:lineRule="auto"/>
        <w:ind w:left="218" w:right="106"/>
        <w:jc w:val="both"/>
      </w:pPr>
      <w:r w:rsidRPr="000B6C1D">
        <w:t>Potreba provedbe postupka strateške procjene utjecaja na okoliš odnosno ocjene o potrebi strateške procjene razmatrana je cijelo vrijeme izrade Plana.</w:t>
      </w:r>
    </w:p>
    <w:p w:rsidR="00BF3D83" w:rsidRPr="000B6C1D" w:rsidRDefault="00BF3D83" w:rsidP="00CF7074">
      <w:pPr>
        <w:pStyle w:val="Tijeloteksta"/>
        <w:spacing w:before="7"/>
        <w:ind w:left="284" w:firstLine="284"/>
        <w:jc w:val="both"/>
        <w:rPr>
          <w:rFonts w:ascii="Times New Roman" w:hAnsi="Times New Roman" w:cs="Times New Roman"/>
          <w:sz w:val="24"/>
        </w:rPr>
      </w:pPr>
    </w:p>
    <w:p w:rsidR="00BF3D83" w:rsidRPr="000B6C1D" w:rsidRDefault="00BF3D83" w:rsidP="00CF7074">
      <w:pPr>
        <w:pStyle w:val="Naslov5"/>
        <w:spacing w:before="1" w:line="276" w:lineRule="auto"/>
        <w:ind w:left="284" w:right="106"/>
        <w:jc w:val="both"/>
        <w:rPr>
          <w:rFonts w:ascii="Times New Roman" w:hAnsi="Times New Roman" w:cs="Times New Roman"/>
          <w:color w:val="auto"/>
        </w:rPr>
      </w:pPr>
      <w:r w:rsidRPr="000B6C1D">
        <w:rPr>
          <w:rFonts w:ascii="Times New Roman" w:hAnsi="Times New Roman" w:cs="Times New Roman"/>
          <w:color w:val="auto"/>
        </w:rPr>
        <w:t xml:space="preserve">U tijeku je </w:t>
      </w:r>
      <w:r w:rsidRPr="000B6C1D">
        <w:rPr>
          <w:rFonts w:ascii="Times New Roman" w:hAnsi="Times New Roman" w:cs="Times New Roman"/>
          <w:b/>
          <w:color w:val="auto"/>
        </w:rPr>
        <w:t xml:space="preserve">postupak ishođenja mišljenja </w:t>
      </w:r>
      <w:r w:rsidRPr="000B6C1D">
        <w:rPr>
          <w:rFonts w:ascii="Times New Roman" w:hAnsi="Times New Roman" w:cs="Times New Roman"/>
          <w:color w:val="auto"/>
        </w:rPr>
        <w:t>o potrebi provedbe postupka ocjene, odnosno strateške procjene utjecaja na okoliš za nacrt prijedloga Plana koji je Odjel pokrenuo pred nadležnim upravnim tijelom u županiji temeljem odredbe iz članaka 66. stavak 1. ZO</w:t>
      </w:r>
      <w:r w:rsidR="00430168" w:rsidRPr="000B6C1D">
        <w:rPr>
          <w:rFonts w:ascii="Times New Roman" w:hAnsi="Times New Roman" w:cs="Times New Roman"/>
          <w:color w:val="auto"/>
        </w:rPr>
        <w:t>Z</w:t>
      </w:r>
      <w:r w:rsidRPr="000B6C1D">
        <w:rPr>
          <w:rFonts w:ascii="Times New Roman" w:hAnsi="Times New Roman" w:cs="Times New Roman"/>
          <w:color w:val="auto"/>
        </w:rPr>
        <w:t>O</w:t>
      </w:r>
      <w:r w:rsidR="00CF7074" w:rsidRPr="000B6C1D">
        <w:rPr>
          <w:rFonts w:ascii="Times New Roman" w:hAnsi="Times New Roman" w:cs="Times New Roman"/>
          <w:color w:val="auto"/>
        </w:rPr>
        <w:t>.</w:t>
      </w:r>
    </w:p>
    <w:p w:rsidR="00CF7074" w:rsidRPr="000B6C1D" w:rsidRDefault="00CF7074" w:rsidP="00CF7074"/>
    <w:p w:rsidR="00BF3D83" w:rsidRPr="000B6C1D" w:rsidRDefault="00BF3D83" w:rsidP="00BC123A">
      <w:pPr>
        <w:spacing w:before="76"/>
        <w:ind w:left="218"/>
        <w:jc w:val="both"/>
        <w:rPr>
          <w:b/>
        </w:rPr>
      </w:pPr>
      <w:r w:rsidRPr="000B6C1D">
        <w:rPr>
          <w:b/>
        </w:rPr>
        <w:t>SADRŽAJ PLANA</w:t>
      </w:r>
    </w:p>
    <w:p w:rsidR="00BF3D83" w:rsidRPr="000B6C1D" w:rsidRDefault="00BF3D83" w:rsidP="00BC123A">
      <w:pPr>
        <w:pStyle w:val="Tijeloteksta"/>
        <w:spacing w:before="9"/>
        <w:jc w:val="both"/>
        <w:rPr>
          <w:rFonts w:ascii="Times New Roman" w:hAnsi="Times New Roman" w:cs="Times New Roman"/>
          <w:b/>
        </w:rPr>
      </w:pPr>
    </w:p>
    <w:p w:rsidR="00BF3D83" w:rsidRPr="000B6C1D" w:rsidRDefault="00BF3D83" w:rsidP="00BC123A">
      <w:pPr>
        <w:pStyle w:val="Tijeloteksta"/>
        <w:spacing w:before="9"/>
        <w:jc w:val="both"/>
        <w:rPr>
          <w:rFonts w:ascii="Times New Roman" w:hAnsi="Times New Roman" w:cs="Times New Roman"/>
        </w:rPr>
      </w:pPr>
    </w:p>
    <w:p w:rsidR="00BF3D83" w:rsidRPr="000B6C1D" w:rsidRDefault="00BF3D83" w:rsidP="00BC123A">
      <w:pPr>
        <w:spacing w:after="4" w:line="276" w:lineRule="auto"/>
        <w:ind w:left="218" w:right="106"/>
        <w:jc w:val="both"/>
      </w:pPr>
      <w:r w:rsidRPr="000B6C1D">
        <w:t xml:space="preserve">U svrhu izrade Plana, provedene su analize zakonskog i planskog okvira gospodarenju otpadom, značajki područja bitnih za uspostavu sustava gospodarenja otpadom, vrsta i </w:t>
      </w:r>
      <w:r w:rsidRPr="000B6C1D">
        <w:lastRenderedPageBreak/>
        <w:t xml:space="preserve">količina proizvedenog, sakupljenog i obrađenog otpada, postojećeg integralnog sustava gospodarenja otpadom, metoda, opreme, programa, organizacije i troška sakupljanja komunalnog otpada,  načina financiranja nabave opreme i gradnje građevina za gospodarenje komunalnim otpadom, važećeg modela za obračun cijene komunalne usluge gospodarenja komunalnim otpadom, infrastrukture i tehnike za oporabu i zbrinjavanje planirane dokumentima prostornog uređenja, izgrađene, u fazi pripreme za gradnju odnosno nabave i koja se prestala koristiti. Utvrđene su lokacije s većom količinom otpada odbačenog u okoliš, vrstama otpada na tim lokacijama i stanjem lokacije u pogledu uklanjanja tog otpada, analizirana je provedba akcija prikupljanja otpada u sportske, humanitarne i druge svrhe, provedba akcija čišćenja okoliša te provedba </w:t>
      </w:r>
      <w:proofErr w:type="spellStart"/>
      <w:r w:rsidRPr="000B6C1D">
        <w:t>izobrazno</w:t>
      </w:r>
      <w:proofErr w:type="spellEnd"/>
      <w:r w:rsidRPr="000B6C1D">
        <w:t>- informativnih aktivnosti iz područja gospodarenja</w:t>
      </w:r>
      <w:r w:rsidRPr="000B6C1D">
        <w:rPr>
          <w:spacing w:val="-5"/>
        </w:rPr>
        <w:t xml:space="preserve"> </w:t>
      </w:r>
      <w:r w:rsidRPr="000B6C1D">
        <w:t>otpadom.</w:t>
      </w:r>
    </w:p>
    <w:p w:rsidR="00BF3D83" w:rsidRPr="000B6C1D" w:rsidRDefault="00BF3D83" w:rsidP="00BC123A">
      <w:pPr>
        <w:spacing w:line="276" w:lineRule="auto"/>
        <w:ind w:left="218" w:right="106"/>
        <w:jc w:val="both"/>
      </w:pPr>
      <w:r w:rsidRPr="000B6C1D">
        <w:t xml:space="preserve">Predložene su mjere za poboljšanje sustava gospodarenja komunalnim otpadom do 2022. godine  i to: mjere za ostvarenje ciljeva sprječavanja nastanka i smanjivanja količine komunalnog otpada, mjere prijelaza s postojećeg sustava sakupljanja komunalnog otpada na javnu uslugu prikupljanja miješanog i biorazgradivog komunalnog otpada, mjere za poboljšanje odvojenog sakupljanja komunalnog otpada, mjere poboljšanja </w:t>
      </w:r>
      <w:proofErr w:type="spellStart"/>
      <w:r w:rsidRPr="000B6C1D">
        <w:t>izobrazno</w:t>
      </w:r>
      <w:proofErr w:type="spellEnd"/>
      <w:r w:rsidRPr="000B6C1D">
        <w:t xml:space="preserve">-informativne aktivnosti i mjere uključivanja </w:t>
      </w:r>
      <w:r w:rsidR="005915FA" w:rsidRPr="000B6C1D">
        <w:t>Općine Kostrena</w:t>
      </w:r>
      <w:r w:rsidRPr="000B6C1D">
        <w:t xml:space="preserve"> u provedb</w:t>
      </w:r>
      <w:r w:rsidR="005915FA" w:rsidRPr="000B6C1D">
        <w:t>i</w:t>
      </w:r>
      <w:r w:rsidRPr="000B6C1D">
        <w:t xml:space="preserve"> akcija prikupljanja otpada u svrhu provedbe sportskih, edukativnih, ekoloških ili humanitarnih sadržaja. Prikazane su opće zakonske mjere gospodarenja otpadom, uključivo opasnim otpadom, mjere koje se moraju provoditi u svrhu sprječavanja odbacivanja otpada  okoliš i uklanjanja odbačenog otpada te način sudjelovanja </w:t>
      </w:r>
      <w:r w:rsidR="005915FA" w:rsidRPr="000B6C1D">
        <w:t>Općine Kostrena</w:t>
      </w:r>
      <w:r w:rsidRPr="000B6C1D">
        <w:t xml:space="preserve"> u provedbi mjera prikupljanja posebnih kategorija</w:t>
      </w:r>
      <w:r w:rsidRPr="000B6C1D">
        <w:rPr>
          <w:spacing w:val="-3"/>
        </w:rPr>
        <w:t xml:space="preserve"> </w:t>
      </w:r>
      <w:r w:rsidRPr="000B6C1D">
        <w:t>otpada.</w:t>
      </w:r>
    </w:p>
    <w:p w:rsidR="00BF3D83" w:rsidRPr="000B6C1D" w:rsidRDefault="00BF3D83" w:rsidP="009B2CC8">
      <w:pPr>
        <w:spacing w:line="276" w:lineRule="auto"/>
        <w:ind w:left="218" w:right="105"/>
        <w:jc w:val="both"/>
      </w:pPr>
      <w:r w:rsidRPr="000B6C1D">
        <w:t xml:space="preserve">Izrađen je popis projekata koji su ocijenjeni važnima za provedbu Plana gospodarenja otpadom Republike Hrvatske za razdoblje 2017. – 2022. godine, prikazani su dionici u gospodarenju otpadom i njihove nadležnosti i/ili zadaće od Vlade do osoba koje obavljaju djelatnost gospodarenja otpadom, prikazani su mogući izvori financiranja kapitalnih troškova i operativnih troškova provedbe mjera, aktivnosti gospodarenja otpadom koje su predviđene proračunom </w:t>
      </w:r>
      <w:r w:rsidR="00796603" w:rsidRPr="000B6C1D">
        <w:t>Općine Kostrena</w:t>
      </w:r>
      <w:r w:rsidRPr="000B6C1D">
        <w:t xml:space="preserve"> za 201</w:t>
      </w:r>
      <w:r w:rsidR="00796603" w:rsidRPr="000B6C1D">
        <w:t>8</w:t>
      </w:r>
      <w:r w:rsidRPr="000B6C1D">
        <w:t>. godinu, procijenjena je visina kapitalnih ulaganja za provedbu plana te rokovi i nositelji izvršenja</w:t>
      </w:r>
      <w:r w:rsidRPr="000B6C1D">
        <w:rPr>
          <w:spacing w:val="-11"/>
        </w:rPr>
        <w:t xml:space="preserve"> </w:t>
      </w:r>
      <w:r w:rsidRPr="000B6C1D">
        <w:t>plana.</w:t>
      </w:r>
    </w:p>
    <w:p w:rsidR="00BF3D83" w:rsidRPr="000B6C1D" w:rsidRDefault="00BF3D83" w:rsidP="00BC123A">
      <w:pPr>
        <w:pStyle w:val="Tijeloteksta"/>
        <w:spacing w:before="1"/>
        <w:jc w:val="both"/>
        <w:rPr>
          <w:rFonts w:ascii="Times New Roman" w:hAnsi="Times New Roman" w:cs="Times New Roman"/>
          <w:sz w:val="25"/>
        </w:rPr>
      </w:pPr>
    </w:p>
    <w:p w:rsidR="00BF3D83" w:rsidRPr="000B6C1D" w:rsidRDefault="00BF3D83" w:rsidP="00BC123A">
      <w:pPr>
        <w:ind w:left="218"/>
        <w:jc w:val="both"/>
        <w:rPr>
          <w:b/>
          <w:i/>
        </w:rPr>
      </w:pPr>
      <w:r w:rsidRPr="000B6C1D">
        <w:rPr>
          <w:b/>
          <w:i/>
        </w:rPr>
        <w:t>Procjena utjecaja na postojeći sustav gospodarenja komunalnim otpadom</w:t>
      </w:r>
    </w:p>
    <w:p w:rsidR="00BF3D83" w:rsidRPr="000B6C1D" w:rsidRDefault="00BF3D83" w:rsidP="00BC123A">
      <w:pPr>
        <w:pStyle w:val="Tijeloteksta"/>
        <w:spacing w:before="9"/>
        <w:jc w:val="both"/>
        <w:rPr>
          <w:rFonts w:ascii="Times New Roman" w:hAnsi="Times New Roman" w:cs="Times New Roman"/>
          <w:b/>
          <w:i/>
        </w:rPr>
      </w:pPr>
    </w:p>
    <w:p w:rsidR="00BF3D83" w:rsidRPr="000B6C1D" w:rsidRDefault="00BF3D83" w:rsidP="00BC123A">
      <w:pPr>
        <w:spacing w:line="276" w:lineRule="auto"/>
        <w:ind w:left="218"/>
        <w:jc w:val="both"/>
      </w:pPr>
      <w:r w:rsidRPr="000B6C1D">
        <w:t>Uspostava sustava gospodarenja komunalnim otpadom sukladno Planu donosi slijedeće glavne promjene u postojećem sustavu</w:t>
      </w:r>
      <w:r w:rsidR="00B15323" w:rsidRPr="000B6C1D">
        <w:t>:</w:t>
      </w:r>
    </w:p>
    <w:p w:rsidR="00BF3D83" w:rsidRPr="000B6C1D" w:rsidRDefault="00BF3D83" w:rsidP="00BC123A">
      <w:pPr>
        <w:pStyle w:val="Odlomakpopisa"/>
        <w:widowControl w:val="0"/>
        <w:numPr>
          <w:ilvl w:val="0"/>
          <w:numId w:val="15"/>
        </w:numPr>
        <w:tabs>
          <w:tab w:val="left" w:pos="939"/>
        </w:tabs>
        <w:autoSpaceDE w:val="0"/>
        <w:autoSpaceDN w:val="0"/>
        <w:spacing w:before="200"/>
        <w:contextualSpacing w:val="0"/>
        <w:jc w:val="both"/>
      </w:pPr>
      <w:r w:rsidRPr="000B6C1D">
        <w:t xml:space="preserve">uvođenje </w:t>
      </w:r>
      <w:proofErr w:type="spellStart"/>
      <w:r w:rsidRPr="000B6C1D">
        <w:t>kompostiranja</w:t>
      </w:r>
      <w:proofErr w:type="spellEnd"/>
      <w:r w:rsidRPr="000B6C1D">
        <w:t xml:space="preserve"> kod</w:t>
      </w:r>
      <w:r w:rsidRPr="000B6C1D">
        <w:rPr>
          <w:spacing w:val="-9"/>
        </w:rPr>
        <w:t xml:space="preserve"> </w:t>
      </w:r>
      <w:r w:rsidRPr="000B6C1D">
        <w:t>kuće</w:t>
      </w:r>
    </w:p>
    <w:p w:rsidR="00BF3D83" w:rsidRPr="000B6C1D" w:rsidRDefault="00BF3D83" w:rsidP="00BC123A">
      <w:pPr>
        <w:pStyle w:val="Odlomakpopisa"/>
        <w:widowControl w:val="0"/>
        <w:numPr>
          <w:ilvl w:val="0"/>
          <w:numId w:val="15"/>
        </w:numPr>
        <w:tabs>
          <w:tab w:val="left" w:pos="939"/>
        </w:tabs>
        <w:autoSpaceDE w:val="0"/>
        <w:autoSpaceDN w:val="0"/>
        <w:spacing w:before="38" w:line="276" w:lineRule="auto"/>
        <w:ind w:right="110"/>
        <w:contextualSpacing w:val="0"/>
        <w:jc w:val="both"/>
      </w:pPr>
      <w:r w:rsidRPr="000B6C1D">
        <w:t>prijelaz na metodu sakupljanja od vrata do vrata miješanog komunalnog otpada i otpadnog papira</w:t>
      </w:r>
    </w:p>
    <w:p w:rsidR="00BF3D83" w:rsidRPr="000B6C1D" w:rsidRDefault="00BF3D83" w:rsidP="00BC123A">
      <w:pPr>
        <w:pStyle w:val="Odlomakpopisa"/>
        <w:widowControl w:val="0"/>
        <w:numPr>
          <w:ilvl w:val="0"/>
          <w:numId w:val="15"/>
        </w:numPr>
        <w:tabs>
          <w:tab w:val="left" w:pos="939"/>
        </w:tabs>
        <w:autoSpaceDE w:val="0"/>
        <w:autoSpaceDN w:val="0"/>
        <w:spacing w:before="1"/>
        <w:contextualSpacing w:val="0"/>
        <w:jc w:val="both"/>
      </w:pPr>
      <w:r w:rsidRPr="000B6C1D">
        <w:t xml:space="preserve">uvođenje odvojenog sakupljanja komunalnog </w:t>
      </w:r>
      <w:proofErr w:type="spellStart"/>
      <w:r w:rsidRPr="000B6C1D">
        <w:t>biootpada</w:t>
      </w:r>
      <w:proofErr w:type="spellEnd"/>
      <w:r w:rsidRPr="000B6C1D">
        <w:t xml:space="preserve"> metodom od vrata do</w:t>
      </w:r>
      <w:r w:rsidRPr="000B6C1D">
        <w:rPr>
          <w:spacing w:val="-15"/>
        </w:rPr>
        <w:t xml:space="preserve"> </w:t>
      </w:r>
      <w:r w:rsidRPr="000B6C1D">
        <w:t>vrata</w:t>
      </w:r>
    </w:p>
    <w:p w:rsidR="00BF3D83" w:rsidRPr="000B6C1D" w:rsidRDefault="00BF3D83" w:rsidP="00BC123A">
      <w:pPr>
        <w:pStyle w:val="Odlomakpopisa"/>
        <w:widowControl w:val="0"/>
        <w:numPr>
          <w:ilvl w:val="0"/>
          <w:numId w:val="15"/>
        </w:numPr>
        <w:tabs>
          <w:tab w:val="left" w:pos="938"/>
        </w:tabs>
        <w:autoSpaceDE w:val="0"/>
        <w:autoSpaceDN w:val="0"/>
        <w:spacing w:before="37"/>
        <w:ind w:left="937"/>
        <w:contextualSpacing w:val="0"/>
        <w:jc w:val="both"/>
      </w:pPr>
      <w:r w:rsidRPr="000B6C1D">
        <w:t>ograničenje raspolaganja s odvojeno sakupljenom otpadnom plastikom i otpadnim</w:t>
      </w:r>
      <w:r w:rsidRPr="000B6C1D">
        <w:rPr>
          <w:spacing w:val="-30"/>
        </w:rPr>
        <w:t xml:space="preserve"> </w:t>
      </w:r>
      <w:r w:rsidRPr="000B6C1D">
        <w:t>staklom</w:t>
      </w:r>
    </w:p>
    <w:p w:rsidR="00BF3D83" w:rsidRPr="000B6C1D" w:rsidRDefault="00BF3D83" w:rsidP="00BC123A">
      <w:pPr>
        <w:pStyle w:val="Odlomakpopisa"/>
        <w:widowControl w:val="0"/>
        <w:numPr>
          <w:ilvl w:val="0"/>
          <w:numId w:val="15"/>
        </w:numPr>
        <w:tabs>
          <w:tab w:val="left" w:pos="938"/>
        </w:tabs>
        <w:autoSpaceDE w:val="0"/>
        <w:autoSpaceDN w:val="0"/>
        <w:spacing w:before="38" w:line="276" w:lineRule="auto"/>
        <w:ind w:left="937" w:right="107"/>
        <w:contextualSpacing w:val="0"/>
        <w:jc w:val="both"/>
      </w:pPr>
      <w:r w:rsidRPr="000B6C1D">
        <w:t>prijelaz na pojedinačnu nenaplatnu uslugu sakupljanja glomaznog komunalnog otpada na korisničkom</w:t>
      </w:r>
      <w:r w:rsidRPr="000B6C1D">
        <w:rPr>
          <w:spacing w:val="-2"/>
        </w:rPr>
        <w:t xml:space="preserve"> </w:t>
      </w:r>
      <w:r w:rsidRPr="000B6C1D">
        <w:t>mjestu</w:t>
      </w:r>
    </w:p>
    <w:p w:rsidR="00BF3D83" w:rsidRPr="000B6C1D" w:rsidRDefault="00BF3D83" w:rsidP="00BC123A">
      <w:pPr>
        <w:pStyle w:val="Odlomakpopisa"/>
        <w:widowControl w:val="0"/>
        <w:numPr>
          <w:ilvl w:val="0"/>
          <w:numId w:val="15"/>
        </w:numPr>
        <w:tabs>
          <w:tab w:val="left" w:pos="938"/>
        </w:tabs>
        <w:autoSpaceDE w:val="0"/>
        <w:autoSpaceDN w:val="0"/>
        <w:spacing w:line="276" w:lineRule="auto"/>
        <w:ind w:left="937" w:right="110"/>
        <w:contextualSpacing w:val="0"/>
        <w:jc w:val="both"/>
      </w:pPr>
      <w:r w:rsidRPr="000B6C1D">
        <w:t>mogućnost sortiranja odvojeno sakupljenih tokova komunalnog otpada u okviru istog sustava (vlastita</w:t>
      </w:r>
      <w:r w:rsidRPr="000B6C1D">
        <w:rPr>
          <w:spacing w:val="-1"/>
        </w:rPr>
        <w:t xml:space="preserve"> </w:t>
      </w:r>
      <w:proofErr w:type="spellStart"/>
      <w:r w:rsidRPr="000B6C1D">
        <w:t>sortirnica</w:t>
      </w:r>
      <w:proofErr w:type="spellEnd"/>
      <w:r w:rsidRPr="000B6C1D">
        <w:t>)</w:t>
      </w:r>
    </w:p>
    <w:p w:rsidR="00BF3D83" w:rsidRPr="000B6C1D" w:rsidRDefault="00BF3D83" w:rsidP="00BC123A">
      <w:pPr>
        <w:pStyle w:val="Odlomakpopisa"/>
        <w:widowControl w:val="0"/>
        <w:numPr>
          <w:ilvl w:val="0"/>
          <w:numId w:val="15"/>
        </w:numPr>
        <w:tabs>
          <w:tab w:val="left" w:pos="938"/>
        </w:tabs>
        <w:autoSpaceDE w:val="0"/>
        <w:autoSpaceDN w:val="0"/>
        <w:spacing w:line="276" w:lineRule="auto"/>
        <w:ind w:left="937" w:right="106"/>
        <w:contextualSpacing w:val="0"/>
        <w:jc w:val="both"/>
      </w:pPr>
      <w:r w:rsidRPr="000B6C1D">
        <w:lastRenderedPageBreak/>
        <w:t>uvođenje sustava naplate javne usluge prema količini miješanog komunalnog otpada predanog na zbrinjavanje</w:t>
      </w:r>
    </w:p>
    <w:p w:rsidR="00BF3D83" w:rsidRPr="000B6C1D" w:rsidRDefault="00BF3D83" w:rsidP="00BC123A">
      <w:pPr>
        <w:pStyle w:val="Odlomakpopisa"/>
        <w:widowControl w:val="0"/>
        <w:numPr>
          <w:ilvl w:val="0"/>
          <w:numId w:val="15"/>
        </w:numPr>
        <w:tabs>
          <w:tab w:val="left" w:pos="938"/>
        </w:tabs>
        <w:autoSpaceDE w:val="0"/>
        <w:autoSpaceDN w:val="0"/>
        <w:spacing w:line="276" w:lineRule="auto"/>
        <w:ind w:left="937" w:right="108"/>
        <w:contextualSpacing w:val="0"/>
        <w:jc w:val="both"/>
      </w:pPr>
      <w:r w:rsidRPr="000B6C1D">
        <w:t xml:space="preserve">nova ulaganja u infrastrukturu: kućni </w:t>
      </w:r>
      <w:proofErr w:type="spellStart"/>
      <w:r w:rsidRPr="000B6C1D">
        <w:t>komposteri</w:t>
      </w:r>
      <w:proofErr w:type="spellEnd"/>
      <w:r w:rsidRPr="000B6C1D">
        <w:t xml:space="preserve">, </w:t>
      </w:r>
      <w:proofErr w:type="spellStart"/>
      <w:r w:rsidRPr="000B6C1D">
        <w:t>spremnci</w:t>
      </w:r>
      <w:proofErr w:type="spellEnd"/>
      <w:r w:rsidRPr="000B6C1D">
        <w:t xml:space="preserve"> i vozila za sakupljanje otpada,  građevine i jedno mobilno </w:t>
      </w:r>
      <w:proofErr w:type="spellStart"/>
      <w:r w:rsidRPr="000B6C1D">
        <w:t>reciklažno</w:t>
      </w:r>
      <w:proofErr w:type="spellEnd"/>
      <w:r w:rsidRPr="000B6C1D">
        <w:t xml:space="preserve"> dvorište za komunalni otpad, </w:t>
      </w:r>
      <w:proofErr w:type="spellStart"/>
      <w:r w:rsidRPr="000B6C1D">
        <w:t>sortirnica</w:t>
      </w:r>
      <w:proofErr w:type="spellEnd"/>
      <w:r w:rsidRPr="000B6C1D">
        <w:t xml:space="preserve"> za odvojeno sakupljeni</w:t>
      </w:r>
      <w:r w:rsidRPr="000B6C1D">
        <w:rPr>
          <w:spacing w:val="-1"/>
        </w:rPr>
        <w:t xml:space="preserve"> </w:t>
      </w:r>
      <w:r w:rsidRPr="000B6C1D">
        <w:t>otpad</w:t>
      </w:r>
    </w:p>
    <w:p w:rsidR="00BF3D83" w:rsidRPr="000B6C1D" w:rsidRDefault="00BF3D83" w:rsidP="00BC123A">
      <w:pPr>
        <w:pStyle w:val="Odlomakpopisa"/>
        <w:widowControl w:val="0"/>
        <w:numPr>
          <w:ilvl w:val="0"/>
          <w:numId w:val="15"/>
        </w:numPr>
        <w:tabs>
          <w:tab w:val="left" w:pos="938"/>
        </w:tabs>
        <w:autoSpaceDE w:val="0"/>
        <w:autoSpaceDN w:val="0"/>
        <w:spacing w:line="276" w:lineRule="auto"/>
        <w:ind w:left="937" w:right="107"/>
        <w:contextualSpacing w:val="0"/>
        <w:jc w:val="both"/>
      </w:pPr>
      <w:r w:rsidRPr="000B6C1D">
        <w:t>promjene u količini rada gospodarenja komunalnim otpadom: veći rad sakupljanja, manji rad MBO i odlaganja, uvođenje rada sortiranja odvojeno sakupljenog</w:t>
      </w:r>
      <w:r w:rsidRPr="000B6C1D">
        <w:rPr>
          <w:spacing w:val="-11"/>
        </w:rPr>
        <w:t xml:space="preserve"> </w:t>
      </w:r>
      <w:r w:rsidRPr="000B6C1D">
        <w:t>otpada</w:t>
      </w:r>
    </w:p>
    <w:p w:rsidR="00BF3D83" w:rsidRPr="000B6C1D" w:rsidRDefault="00BF3D83" w:rsidP="00BC123A">
      <w:pPr>
        <w:pStyle w:val="Odlomakpopisa"/>
        <w:widowControl w:val="0"/>
        <w:numPr>
          <w:ilvl w:val="0"/>
          <w:numId w:val="15"/>
        </w:numPr>
        <w:tabs>
          <w:tab w:val="left" w:pos="938"/>
        </w:tabs>
        <w:autoSpaceDE w:val="0"/>
        <w:autoSpaceDN w:val="0"/>
        <w:spacing w:line="252" w:lineRule="exact"/>
        <w:ind w:left="937"/>
        <w:contextualSpacing w:val="0"/>
        <w:jc w:val="both"/>
      </w:pPr>
      <w:r w:rsidRPr="000B6C1D">
        <w:t>veće sudjelovanje korisnika usluge u sakupljanju</w:t>
      </w:r>
      <w:r w:rsidRPr="000B6C1D">
        <w:rPr>
          <w:spacing w:val="-12"/>
        </w:rPr>
        <w:t xml:space="preserve"> </w:t>
      </w:r>
      <w:r w:rsidRPr="000B6C1D">
        <w:t>otpada</w:t>
      </w:r>
    </w:p>
    <w:p w:rsidR="00BF3D83" w:rsidRPr="000B6C1D" w:rsidRDefault="00BF3D83" w:rsidP="00BC123A">
      <w:pPr>
        <w:pStyle w:val="Tijeloteksta"/>
        <w:jc w:val="both"/>
        <w:rPr>
          <w:rFonts w:ascii="Times New Roman" w:hAnsi="Times New Roman" w:cs="Times New Roman"/>
        </w:rPr>
      </w:pPr>
    </w:p>
    <w:p w:rsidR="00BF3D83" w:rsidRPr="000B6C1D" w:rsidRDefault="00BF3D83" w:rsidP="00BC123A">
      <w:pPr>
        <w:pStyle w:val="Tijeloteksta"/>
        <w:jc w:val="both"/>
        <w:rPr>
          <w:rFonts w:ascii="Times New Roman" w:hAnsi="Times New Roman" w:cs="Times New Roman"/>
        </w:rPr>
      </w:pPr>
    </w:p>
    <w:p w:rsidR="00BF3D83" w:rsidRPr="000B6C1D" w:rsidRDefault="00BF3D83" w:rsidP="00BC123A">
      <w:pPr>
        <w:pStyle w:val="Tijeloteksta"/>
        <w:jc w:val="both"/>
        <w:rPr>
          <w:rFonts w:ascii="Times New Roman" w:hAnsi="Times New Roman" w:cs="Times New Roman"/>
        </w:rPr>
      </w:pPr>
    </w:p>
    <w:p w:rsidR="00BF3D83" w:rsidRPr="000B6C1D" w:rsidRDefault="00BF3D83" w:rsidP="00BC123A">
      <w:pPr>
        <w:pStyle w:val="Tijeloteksta"/>
        <w:jc w:val="both"/>
        <w:rPr>
          <w:rFonts w:ascii="Times New Roman" w:hAnsi="Times New Roman" w:cs="Times New Roman"/>
        </w:rPr>
      </w:pPr>
    </w:p>
    <w:sectPr w:rsidR="00BF3D83" w:rsidRPr="000B6C1D" w:rsidSect="006D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77D"/>
    <w:multiLevelType w:val="hybridMultilevel"/>
    <w:tmpl w:val="BC021E82"/>
    <w:lvl w:ilvl="0" w:tplc="01B83CD8">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EB078A"/>
    <w:multiLevelType w:val="hybridMultilevel"/>
    <w:tmpl w:val="92B6DF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AD66F2"/>
    <w:multiLevelType w:val="hybridMultilevel"/>
    <w:tmpl w:val="5E3A693A"/>
    <w:lvl w:ilvl="0" w:tplc="3EFC97F6">
      <w:numFmt w:val="bullet"/>
      <w:lvlText w:val="-"/>
      <w:lvlJc w:val="left"/>
      <w:pPr>
        <w:ind w:left="938" w:hanging="360"/>
      </w:pPr>
      <w:rPr>
        <w:rFonts w:ascii="Arial" w:eastAsia="Arial" w:hAnsi="Arial" w:cs="Arial" w:hint="default"/>
        <w:w w:val="100"/>
        <w:sz w:val="22"/>
        <w:szCs w:val="22"/>
      </w:rPr>
    </w:lvl>
    <w:lvl w:ilvl="1" w:tplc="405A171E">
      <w:numFmt w:val="bullet"/>
      <w:lvlText w:val="•"/>
      <w:lvlJc w:val="left"/>
      <w:pPr>
        <w:ind w:left="1842" w:hanging="360"/>
      </w:pPr>
    </w:lvl>
    <w:lvl w:ilvl="2" w:tplc="243ECE8E">
      <w:numFmt w:val="bullet"/>
      <w:lvlText w:val="•"/>
      <w:lvlJc w:val="left"/>
      <w:pPr>
        <w:ind w:left="2745" w:hanging="360"/>
      </w:pPr>
    </w:lvl>
    <w:lvl w:ilvl="3" w:tplc="D0CA5B86">
      <w:numFmt w:val="bullet"/>
      <w:lvlText w:val="•"/>
      <w:lvlJc w:val="left"/>
      <w:pPr>
        <w:ind w:left="3647" w:hanging="360"/>
      </w:pPr>
    </w:lvl>
    <w:lvl w:ilvl="4" w:tplc="85D6E95E">
      <w:numFmt w:val="bullet"/>
      <w:lvlText w:val="•"/>
      <w:lvlJc w:val="left"/>
      <w:pPr>
        <w:ind w:left="4550" w:hanging="360"/>
      </w:pPr>
    </w:lvl>
    <w:lvl w:ilvl="5" w:tplc="7A7A0584">
      <w:numFmt w:val="bullet"/>
      <w:lvlText w:val="•"/>
      <w:lvlJc w:val="left"/>
      <w:pPr>
        <w:ind w:left="5453" w:hanging="360"/>
      </w:pPr>
    </w:lvl>
    <w:lvl w:ilvl="6" w:tplc="16E242C0">
      <w:numFmt w:val="bullet"/>
      <w:lvlText w:val="•"/>
      <w:lvlJc w:val="left"/>
      <w:pPr>
        <w:ind w:left="6355" w:hanging="360"/>
      </w:pPr>
    </w:lvl>
    <w:lvl w:ilvl="7" w:tplc="36A85A1E">
      <w:numFmt w:val="bullet"/>
      <w:lvlText w:val="•"/>
      <w:lvlJc w:val="left"/>
      <w:pPr>
        <w:ind w:left="7258" w:hanging="360"/>
      </w:pPr>
    </w:lvl>
    <w:lvl w:ilvl="8" w:tplc="969A3C7C">
      <w:numFmt w:val="bullet"/>
      <w:lvlText w:val="•"/>
      <w:lvlJc w:val="left"/>
      <w:pPr>
        <w:ind w:left="8161" w:hanging="360"/>
      </w:pPr>
    </w:lvl>
  </w:abstractNum>
  <w:abstractNum w:abstractNumId="3" w15:restartNumberingAfterBreak="0">
    <w:nsid w:val="10524245"/>
    <w:multiLevelType w:val="hybridMultilevel"/>
    <w:tmpl w:val="3344FE88"/>
    <w:lvl w:ilvl="0" w:tplc="5F163C18">
      <w:numFmt w:val="bullet"/>
      <w:lvlText w:val="-"/>
      <w:lvlJc w:val="left"/>
      <w:pPr>
        <w:ind w:left="937" w:hanging="360"/>
      </w:pPr>
      <w:rPr>
        <w:rFonts w:ascii="Calibri" w:eastAsia="Calibri" w:hAnsi="Calibri" w:cs="Calibri" w:hint="default"/>
        <w:w w:val="100"/>
        <w:sz w:val="22"/>
        <w:szCs w:val="22"/>
      </w:rPr>
    </w:lvl>
    <w:lvl w:ilvl="1" w:tplc="C284FB72">
      <w:numFmt w:val="bullet"/>
      <w:lvlText w:val="•"/>
      <w:lvlJc w:val="left"/>
      <w:pPr>
        <w:ind w:left="1842" w:hanging="360"/>
      </w:pPr>
    </w:lvl>
    <w:lvl w:ilvl="2" w:tplc="ED94C872">
      <w:numFmt w:val="bullet"/>
      <w:lvlText w:val="•"/>
      <w:lvlJc w:val="left"/>
      <w:pPr>
        <w:ind w:left="2745" w:hanging="360"/>
      </w:pPr>
    </w:lvl>
    <w:lvl w:ilvl="3" w:tplc="3316281E">
      <w:numFmt w:val="bullet"/>
      <w:lvlText w:val="•"/>
      <w:lvlJc w:val="left"/>
      <w:pPr>
        <w:ind w:left="3647" w:hanging="360"/>
      </w:pPr>
    </w:lvl>
    <w:lvl w:ilvl="4" w:tplc="62ACBA1A">
      <w:numFmt w:val="bullet"/>
      <w:lvlText w:val="•"/>
      <w:lvlJc w:val="left"/>
      <w:pPr>
        <w:ind w:left="4550" w:hanging="360"/>
      </w:pPr>
    </w:lvl>
    <w:lvl w:ilvl="5" w:tplc="EC0634EE">
      <w:numFmt w:val="bullet"/>
      <w:lvlText w:val="•"/>
      <w:lvlJc w:val="left"/>
      <w:pPr>
        <w:ind w:left="5453" w:hanging="360"/>
      </w:pPr>
    </w:lvl>
    <w:lvl w:ilvl="6" w:tplc="D748A0A6">
      <w:numFmt w:val="bullet"/>
      <w:lvlText w:val="•"/>
      <w:lvlJc w:val="left"/>
      <w:pPr>
        <w:ind w:left="6355" w:hanging="360"/>
      </w:pPr>
    </w:lvl>
    <w:lvl w:ilvl="7" w:tplc="8CE46EB4">
      <w:numFmt w:val="bullet"/>
      <w:lvlText w:val="•"/>
      <w:lvlJc w:val="left"/>
      <w:pPr>
        <w:ind w:left="7258" w:hanging="360"/>
      </w:pPr>
    </w:lvl>
    <w:lvl w:ilvl="8" w:tplc="8376E04A">
      <w:numFmt w:val="bullet"/>
      <w:lvlText w:val="•"/>
      <w:lvlJc w:val="left"/>
      <w:pPr>
        <w:ind w:left="8161" w:hanging="360"/>
      </w:pPr>
    </w:lvl>
  </w:abstractNum>
  <w:abstractNum w:abstractNumId="4" w15:restartNumberingAfterBreak="0">
    <w:nsid w:val="16340529"/>
    <w:multiLevelType w:val="hybridMultilevel"/>
    <w:tmpl w:val="1F267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D4674B"/>
    <w:multiLevelType w:val="hybridMultilevel"/>
    <w:tmpl w:val="E9D6776E"/>
    <w:lvl w:ilvl="0" w:tplc="2A928338">
      <w:numFmt w:val="bullet"/>
      <w:lvlText w:val="-"/>
      <w:lvlJc w:val="left"/>
      <w:pPr>
        <w:ind w:left="781" w:hanging="356"/>
      </w:pPr>
      <w:rPr>
        <w:rFonts w:ascii="Arial" w:eastAsia="Arial" w:hAnsi="Arial" w:cs="Arial" w:hint="default"/>
        <w:w w:val="100"/>
        <w:sz w:val="22"/>
        <w:szCs w:val="22"/>
      </w:rPr>
    </w:lvl>
    <w:lvl w:ilvl="1" w:tplc="8A0ED3AA">
      <w:numFmt w:val="bullet"/>
      <w:lvlText w:val="•"/>
      <w:lvlJc w:val="left"/>
      <w:pPr>
        <w:ind w:left="1842" w:hanging="356"/>
      </w:pPr>
    </w:lvl>
    <w:lvl w:ilvl="2" w:tplc="AFBE9402">
      <w:numFmt w:val="bullet"/>
      <w:lvlText w:val="•"/>
      <w:lvlJc w:val="left"/>
      <w:pPr>
        <w:ind w:left="2745" w:hanging="356"/>
      </w:pPr>
    </w:lvl>
    <w:lvl w:ilvl="3" w:tplc="89BA4064">
      <w:numFmt w:val="bullet"/>
      <w:lvlText w:val="•"/>
      <w:lvlJc w:val="left"/>
      <w:pPr>
        <w:ind w:left="3647" w:hanging="356"/>
      </w:pPr>
    </w:lvl>
    <w:lvl w:ilvl="4" w:tplc="C8DC3C66">
      <w:numFmt w:val="bullet"/>
      <w:lvlText w:val="•"/>
      <w:lvlJc w:val="left"/>
      <w:pPr>
        <w:ind w:left="4550" w:hanging="356"/>
      </w:pPr>
    </w:lvl>
    <w:lvl w:ilvl="5" w:tplc="8E2CDA0A">
      <w:numFmt w:val="bullet"/>
      <w:lvlText w:val="•"/>
      <w:lvlJc w:val="left"/>
      <w:pPr>
        <w:ind w:left="5453" w:hanging="356"/>
      </w:pPr>
    </w:lvl>
    <w:lvl w:ilvl="6" w:tplc="50F413A0">
      <w:numFmt w:val="bullet"/>
      <w:lvlText w:val="•"/>
      <w:lvlJc w:val="left"/>
      <w:pPr>
        <w:ind w:left="6355" w:hanging="356"/>
      </w:pPr>
    </w:lvl>
    <w:lvl w:ilvl="7" w:tplc="2D5ED9A8">
      <w:numFmt w:val="bullet"/>
      <w:lvlText w:val="•"/>
      <w:lvlJc w:val="left"/>
      <w:pPr>
        <w:ind w:left="7258" w:hanging="356"/>
      </w:pPr>
    </w:lvl>
    <w:lvl w:ilvl="8" w:tplc="C5249C80">
      <w:numFmt w:val="bullet"/>
      <w:lvlText w:val="•"/>
      <w:lvlJc w:val="left"/>
      <w:pPr>
        <w:ind w:left="8161" w:hanging="356"/>
      </w:pPr>
    </w:lvl>
  </w:abstractNum>
  <w:abstractNum w:abstractNumId="6" w15:restartNumberingAfterBreak="0">
    <w:nsid w:val="30F84D5D"/>
    <w:multiLevelType w:val="hybridMultilevel"/>
    <w:tmpl w:val="FB745EBC"/>
    <w:lvl w:ilvl="0" w:tplc="9C8E6AAE">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866877"/>
    <w:multiLevelType w:val="hybridMultilevel"/>
    <w:tmpl w:val="4A2CD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0E2572"/>
    <w:multiLevelType w:val="hybridMultilevel"/>
    <w:tmpl w:val="402A1FF4"/>
    <w:lvl w:ilvl="0" w:tplc="CBEA7044">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72E2F46"/>
    <w:multiLevelType w:val="hybridMultilevel"/>
    <w:tmpl w:val="8D14C202"/>
    <w:lvl w:ilvl="0" w:tplc="7A629A16">
      <w:start w:val="1"/>
      <w:numFmt w:val="decimal"/>
      <w:lvlText w:val="%1."/>
      <w:lvlJc w:val="left"/>
      <w:pPr>
        <w:ind w:left="3693" w:hanging="248"/>
      </w:pPr>
      <w:rPr>
        <w:rFonts w:ascii="Arial" w:eastAsia="Arial" w:hAnsi="Arial" w:cs="Arial" w:hint="default"/>
        <w:spacing w:val="-1"/>
        <w:w w:val="100"/>
        <w:sz w:val="22"/>
        <w:szCs w:val="22"/>
      </w:rPr>
    </w:lvl>
    <w:lvl w:ilvl="1" w:tplc="EB4C567A">
      <w:numFmt w:val="bullet"/>
      <w:lvlText w:val="•"/>
      <w:lvlJc w:val="left"/>
      <w:pPr>
        <w:ind w:left="4326" w:hanging="248"/>
      </w:pPr>
    </w:lvl>
    <w:lvl w:ilvl="2" w:tplc="EDAA4456">
      <w:numFmt w:val="bullet"/>
      <w:lvlText w:val="•"/>
      <w:lvlJc w:val="left"/>
      <w:pPr>
        <w:ind w:left="4953" w:hanging="248"/>
      </w:pPr>
    </w:lvl>
    <w:lvl w:ilvl="3" w:tplc="115E9444">
      <w:numFmt w:val="bullet"/>
      <w:lvlText w:val="•"/>
      <w:lvlJc w:val="left"/>
      <w:pPr>
        <w:ind w:left="5579" w:hanging="248"/>
      </w:pPr>
    </w:lvl>
    <w:lvl w:ilvl="4" w:tplc="8BC21948">
      <w:numFmt w:val="bullet"/>
      <w:lvlText w:val="•"/>
      <w:lvlJc w:val="left"/>
      <w:pPr>
        <w:ind w:left="6206" w:hanging="248"/>
      </w:pPr>
    </w:lvl>
    <w:lvl w:ilvl="5" w:tplc="35B6D422">
      <w:numFmt w:val="bullet"/>
      <w:lvlText w:val="•"/>
      <w:lvlJc w:val="left"/>
      <w:pPr>
        <w:ind w:left="6833" w:hanging="248"/>
      </w:pPr>
    </w:lvl>
    <w:lvl w:ilvl="6" w:tplc="B7282C8A">
      <w:numFmt w:val="bullet"/>
      <w:lvlText w:val="•"/>
      <w:lvlJc w:val="left"/>
      <w:pPr>
        <w:ind w:left="7459" w:hanging="248"/>
      </w:pPr>
    </w:lvl>
    <w:lvl w:ilvl="7" w:tplc="048CEE70">
      <w:numFmt w:val="bullet"/>
      <w:lvlText w:val="•"/>
      <w:lvlJc w:val="left"/>
      <w:pPr>
        <w:ind w:left="8086" w:hanging="248"/>
      </w:pPr>
    </w:lvl>
    <w:lvl w:ilvl="8" w:tplc="C416005C">
      <w:numFmt w:val="bullet"/>
      <w:lvlText w:val="•"/>
      <w:lvlJc w:val="left"/>
      <w:pPr>
        <w:ind w:left="8713" w:hanging="248"/>
      </w:pPr>
    </w:lvl>
  </w:abstractNum>
  <w:abstractNum w:abstractNumId="10" w15:restartNumberingAfterBreak="0">
    <w:nsid w:val="43596D46"/>
    <w:multiLevelType w:val="hybridMultilevel"/>
    <w:tmpl w:val="6C28D2DA"/>
    <w:lvl w:ilvl="0" w:tplc="D1925266">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AE30D1"/>
    <w:multiLevelType w:val="hybridMultilevel"/>
    <w:tmpl w:val="F82AEC1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1C6019"/>
    <w:multiLevelType w:val="hybridMultilevel"/>
    <w:tmpl w:val="1B2E2EF8"/>
    <w:lvl w:ilvl="0" w:tplc="173CB36E">
      <w:numFmt w:val="bullet"/>
      <w:lvlText w:val="-"/>
      <w:lvlJc w:val="left"/>
      <w:pPr>
        <w:ind w:left="1065" w:hanging="360"/>
      </w:pPr>
      <w:rPr>
        <w:rFonts w:ascii="Times New Roman" w:eastAsia="MS Mincho"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6D313550"/>
    <w:multiLevelType w:val="hybridMultilevel"/>
    <w:tmpl w:val="694E47D2"/>
    <w:lvl w:ilvl="0" w:tplc="B886A26A">
      <w:start w:val="1"/>
      <w:numFmt w:val="decimal"/>
      <w:lvlText w:val="%1."/>
      <w:lvlJc w:val="left"/>
      <w:pPr>
        <w:ind w:left="578" w:hanging="360"/>
      </w:pPr>
      <w:rPr>
        <w:rFonts w:ascii="Arial" w:eastAsia="Arial" w:hAnsi="Arial" w:cs="Arial" w:hint="default"/>
        <w:b/>
        <w:bCs/>
        <w:spacing w:val="-1"/>
        <w:w w:val="100"/>
        <w:sz w:val="22"/>
        <w:szCs w:val="22"/>
      </w:rPr>
    </w:lvl>
    <w:lvl w:ilvl="1" w:tplc="CB18DEE8">
      <w:start w:val="1"/>
      <w:numFmt w:val="lowerLetter"/>
      <w:lvlText w:val="%2."/>
      <w:lvlJc w:val="left"/>
      <w:pPr>
        <w:ind w:left="926" w:hanging="360"/>
      </w:pPr>
      <w:rPr>
        <w:rFonts w:ascii="Arial" w:eastAsia="Arial" w:hAnsi="Arial" w:cs="Arial" w:hint="default"/>
        <w:b w:val="0"/>
        <w:bCs/>
        <w:spacing w:val="-1"/>
        <w:w w:val="100"/>
        <w:sz w:val="22"/>
        <w:szCs w:val="22"/>
      </w:rPr>
    </w:lvl>
    <w:lvl w:ilvl="2" w:tplc="9CFE3344">
      <w:numFmt w:val="bullet"/>
      <w:lvlText w:val="•"/>
      <w:lvlJc w:val="left"/>
      <w:pPr>
        <w:ind w:left="1925" w:hanging="360"/>
      </w:pPr>
    </w:lvl>
    <w:lvl w:ilvl="3" w:tplc="31CE05B0">
      <w:numFmt w:val="bullet"/>
      <w:lvlText w:val="•"/>
      <w:lvlJc w:val="left"/>
      <w:pPr>
        <w:ind w:left="2930" w:hanging="360"/>
      </w:pPr>
    </w:lvl>
    <w:lvl w:ilvl="4" w:tplc="A9CED67A">
      <w:numFmt w:val="bullet"/>
      <w:lvlText w:val="•"/>
      <w:lvlJc w:val="left"/>
      <w:pPr>
        <w:ind w:left="3935" w:hanging="360"/>
      </w:pPr>
    </w:lvl>
    <w:lvl w:ilvl="5" w:tplc="8CFAFA26">
      <w:numFmt w:val="bullet"/>
      <w:lvlText w:val="•"/>
      <w:lvlJc w:val="left"/>
      <w:pPr>
        <w:ind w:left="4940" w:hanging="360"/>
      </w:pPr>
    </w:lvl>
    <w:lvl w:ilvl="6" w:tplc="32FC602C">
      <w:numFmt w:val="bullet"/>
      <w:lvlText w:val="•"/>
      <w:lvlJc w:val="left"/>
      <w:pPr>
        <w:ind w:left="5945" w:hanging="360"/>
      </w:pPr>
    </w:lvl>
    <w:lvl w:ilvl="7" w:tplc="0660077E">
      <w:numFmt w:val="bullet"/>
      <w:lvlText w:val="•"/>
      <w:lvlJc w:val="left"/>
      <w:pPr>
        <w:ind w:left="6950" w:hanging="360"/>
      </w:pPr>
    </w:lvl>
    <w:lvl w:ilvl="8" w:tplc="E146CBCE">
      <w:numFmt w:val="bullet"/>
      <w:lvlText w:val="•"/>
      <w:lvlJc w:val="left"/>
      <w:pPr>
        <w:ind w:left="7956" w:hanging="360"/>
      </w:pPr>
    </w:lvl>
  </w:abstractNum>
  <w:abstractNum w:abstractNumId="14" w15:restartNumberingAfterBreak="0">
    <w:nsid w:val="6FB076E5"/>
    <w:multiLevelType w:val="hybridMultilevel"/>
    <w:tmpl w:val="E69EDC52"/>
    <w:lvl w:ilvl="0" w:tplc="E46E0228">
      <w:numFmt w:val="bullet"/>
      <w:lvlText w:val="-"/>
      <w:lvlJc w:val="left"/>
      <w:pPr>
        <w:ind w:left="930" w:hanging="356"/>
      </w:pPr>
      <w:rPr>
        <w:rFonts w:ascii="Calibri" w:eastAsia="Calibri" w:hAnsi="Calibri" w:cs="Calibri" w:hint="default"/>
        <w:w w:val="100"/>
        <w:sz w:val="22"/>
        <w:szCs w:val="22"/>
      </w:rPr>
    </w:lvl>
    <w:lvl w:ilvl="1" w:tplc="FD30DC9E">
      <w:numFmt w:val="bullet"/>
      <w:lvlText w:val="•"/>
      <w:lvlJc w:val="left"/>
      <w:pPr>
        <w:ind w:left="1842" w:hanging="356"/>
      </w:pPr>
    </w:lvl>
    <w:lvl w:ilvl="2" w:tplc="509029B4">
      <w:numFmt w:val="bullet"/>
      <w:lvlText w:val="•"/>
      <w:lvlJc w:val="left"/>
      <w:pPr>
        <w:ind w:left="2745" w:hanging="356"/>
      </w:pPr>
    </w:lvl>
    <w:lvl w:ilvl="3" w:tplc="4558CE52">
      <w:numFmt w:val="bullet"/>
      <w:lvlText w:val="•"/>
      <w:lvlJc w:val="left"/>
      <w:pPr>
        <w:ind w:left="3647" w:hanging="356"/>
      </w:pPr>
    </w:lvl>
    <w:lvl w:ilvl="4" w:tplc="BF7A207A">
      <w:numFmt w:val="bullet"/>
      <w:lvlText w:val="•"/>
      <w:lvlJc w:val="left"/>
      <w:pPr>
        <w:ind w:left="4550" w:hanging="356"/>
      </w:pPr>
    </w:lvl>
    <w:lvl w:ilvl="5" w:tplc="44387522">
      <w:numFmt w:val="bullet"/>
      <w:lvlText w:val="•"/>
      <w:lvlJc w:val="left"/>
      <w:pPr>
        <w:ind w:left="5453" w:hanging="356"/>
      </w:pPr>
    </w:lvl>
    <w:lvl w:ilvl="6" w:tplc="2F8429D6">
      <w:numFmt w:val="bullet"/>
      <w:lvlText w:val="•"/>
      <w:lvlJc w:val="left"/>
      <w:pPr>
        <w:ind w:left="6355" w:hanging="356"/>
      </w:pPr>
    </w:lvl>
    <w:lvl w:ilvl="7" w:tplc="6D6E9BD2">
      <w:numFmt w:val="bullet"/>
      <w:lvlText w:val="•"/>
      <w:lvlJc w:val="left"/>
      <w:pPr>
        <w:ind w:left="7258" w:hanging="356"/>
      </w:pPr>
    </w:lvl>
    <w:lvl w:ilvl="8" w:tplc="6652E540">
      <w:numFmt w:val="bullet"/>
      <w:lvlText w:val="•"/>
      <w:lvlJc w:val="left"/>
      <w:pPr>
        <w:ind w:left="8161" w:hanging="356"/>
      </w:pPr>
    </w:lvl>
  </w:abstractNum>
  <w:abstractNum w:abstractNumId="15" w15:restartNumberingAfterBreak="0">
    <w:nsid w:val="7760785C"/>
    <w:multiLevelType w:val="hybridMultilevel"/>
    <w:tmpl w:val="AE8CB450"/>
    <w:lvl w:ilvl="0" w:tplc="C7AEE346">
      <w:start w:val="51"/>
      <w:numFmt w:val="bullet"/>
      <w:lvlText w:val="-"/>
      <w:lvlJc w:val="left"/>
      <w:pPr>
        <w:ind w:left="1170" w:hanging="360"/>
      </w:pPr>
      <w:rPr>
        <w:rFonts w:ascii="Times New Roman" w:eastAsia="MS Mincho"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6" w15:restartNumberingAfterBreak="0">
    <w:nsid w:val="789C56CD"/>
    <w:multiLevelType w:val="hybridMultilevel"/>
    <w:tmpl w:val="06A65134"/>
    <w:lvl w:ilvl="0" w:tplc="7B748426">
      <w:start w:val="51"/>
      <w:numFmt w:val="bullet"/>
      <w:lvlText w:val="-"/>
      <w:lvlJc w:val="left"/>
      <w:pPr>
        <w:ind w:left="1170" w:hanging="360"/>
      </w:pPr>
      <w:rPr>
        <w:rFonts w:ascii="Times New Roman" w:eastAsia="MS Mincho"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num w:numId="1">
    <w:abstractNumId w:val="10"/>
  </w:num>
  <w:num w:numId="2">
    <w:abstractNumId w:val="8"/>
  </w:num>
  <w:num w:numId="3">
    <w:abstractNumId w:val="0"/>
  </w:num>
  <w:num w:numId="4">
    <w:abstractNumId w:val="12"/>
  </w:num>
  <w:num w:numId="5">
    <w:abstractNumId w:val="16"/>
  </w:num>
  <w:num w:numId="6">
    <w:abstractNumId w:val="7"/>
  </w:num>
  <w:num w:numId="7">
    <w:abstractNumId w:val="15"/>
  </w:num>
  <w:num w:numId="8">
    <w:abstractNumId w:val="4"/>
  </w:num>
  <w:num w:numId="9">
    <w:abstractNumId w:val="11"/>
  </w:num>
  <w:num w:numId="10">
    <w:abstractNumId w:val="6"/>
  </w:num>
  <w:num w:numId="11">
    <w:abstractNumId w:val="1"/>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4"/>
  </w:num>
  <w:num w:numId="15">
    <w:abstractNumId w:val="2"/>
  </w:num>
  <w:num w:numId="16">
    <w:abstractNumId w:val="3"/>
  </w:num>
  <w:num w:numId="1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3F"/>
    <w:rsid w:val="00040AB9"/>
    <w:rsid w:val="00056930"/>
    <w:rsid w:val="00087185"/>
    <w:rsid w:val="000958F3"/>
    <w:rsid w:val="000A4CE0"/>
    <w:rsid w:val="000A4F24"/>
    <w:rsid w:val="000B41B0"/>
    <w:rsid w:val="000B6C1D"/>
    <w:rsid w:val="000B7BFF"/>
    <w:rsid w:val="000C2788"/>
    <w:rsid w:val="000C2F55"/>
    <w:rsid w:val="000E4010"/>
    <w:rsid w:val="00111430"/>
    <w:rsid w:val="001307C7"/>
    <w:rsid w:val="00142AEA"/>
    <w:rsid w:val="00162B3B"/>
    <w:rsid w:val="00185B8E"/>
    <w:rsid w:val="00185DF5"/>
    <w:rsid w:val="001C1878"/>
    <w:rsid w:val="001D14B8"/>
    <w:rsid w:val="001D5436"/>
    <w:rsid w:val="001E4171"/>
    <w:rsid w:val="001F019A"/>
    <w:rsid w:val="00206F0D"/>
    <w:rsid w:val="00243BAA"/>
    <w:rsid w:val="00273024"/>
    <w:rsid w:val="00282D96"/>
    <w:rsid w:val="00291E99"/>
    <w:rsid w:val="002923EE"/>
    <w:rsid w:val="002D22A0"/>
    <w:rsid w:val="002F004F"/>
    <w:rsid w:val="002F30DF"/>
    <w:rsid w:val="00302C80"/>
    <w:rsid w:val="0030438B"/>
    <w:rsid w:val="003112AF"/>
    <w:rsid w:val="003368DF"/>
    <w:rsid w:val="003420F6"/>
    <w:rsid w:val="00365CD8"/>
    <w:rsid w:val="00381E7E"/>
    <w:rsid w:val="003C4FCB"/>
    <w:rsid w:val="003E7CD3"/>
    <w:rsid w:val="003F742A"/>
    <w:rsid w:val="00425E47"/>
    <w:rsid w:val="00430168"/>
    <w:rsid w:val="00430222"/>
    <w:rsid w:val="00437092"/>
    <w:rsid w:val="00456908"/>
    <w:rsid w:val="00467C7B"/>
    <w:rsid w:val="00493845"/>
    <w:rsid w:val="004D4F65"/>
    <w:rsid w:val="005222AD"/>
    <w:rsid w:val="00524FE9"/>
    <w:rsid w:val="00526729"/>
    <w:rsid w:val="00532DCF"/>
    <w:rsid w:val="00534AA7"/>
    <w:rsid w:val="00543F0A"/>
    <w:rsid w:val="0054401D"/>
    <w:rsid w:val="005449C1"/>
    <w:rsid w:val="0055370B"/>
    <w:rsid w:val="00574C61"/>
    <w:rsid w:val="005915FA"/>
    <w:rsid w:val="005A3748"/>
    <w:rsid w:val="005A4254"/>
    <w:rsid w:val="005B4E57"/>
    <w:rsid w:val="005C4F2D"/>
    <w:rsid w:val="005D3BA4"/>
    <w:rsid w:val="005E1039"/>
    <w:rsid w:val="00623FAE"/>
    <w:rsid w:val="00634CE6"/>
    <w:rsid w:val="00637142"/>
    <w:rsid w:val="006514AE"/>
    <w:rsid w:val="006527D5"/>
    <w:rsid w:val="0065422E"/>
    <w:rsid w:val="00664823"/>
    <w:rsid w:val="00694E4D"/>
    <w:rsid w:val="006A1AA2"/>
    <w:rsid w:val="006B710B"/>
    <w:rsid w:val="006B756B"/>
    <w:rsid w:val="006C6DA7"/>
    <w:rsid w:val="006D2D6F"/>
    <w:rsid w:val="006D65B0"/>
    <w:rsid w:val="006E0320"/>
    <w:rsid w:val="006F47B6"/>
    <w:rsid w:val="007072BC"/>
    <w:rsid w:val="00723DC1"/>
    <w:rsid w:val="00723F0F"/>
    <w:rsid w:val="00742332"/>
    <w:rsid w:val="00777C55"/>
    <w:rsid w:val="0079361F"/>
    <w:rsid w:val="00795455"/>
    <w:rsid w:val="00796603"/>
    <w:rsid w:val="007A2D68"/>
    <w:rsid w:val="007A603A"/>
    <w:rsid w:val="007C170C"/>
    <w:rsid w:val="007D21A1"/>
    <w:rsid w:val="007F7B16"/>
    <w:rsid w:val="00800B3E"/>
    <w:rsid w:val="00802F0F"/>
    <w:rsid w:val="00814DEC"/>
    <w:rsid w:val="00823DC2"/>
    <w:rsid w:val="00824FA4"/>
    <w:rsid w:val="008422F6"/>
    <w:rsid w:val="00886108"/>
    <w:rsid w:val="00892336"/>
    <w:rsid w:val="008A4896"/>
    <w:rsid w:val="008A594F"/>
    <w:rsid w:val="008B1A92"/>
    <w:rsid w:val="008D7262"/>
    <w:rsid w:val="008E6D05"/>
    <w:rsid w:val="008F129B"/>
    <w:rsid w:val="00925FC8"/>
    <w:rsid w:val="00932F45"/>
    <w:rsid w:val="00934909"/>
    <w:rsid w:val="009504B1"/>
    <w:rsid w:val="00961858"/>
    <w:rsid w:val="00966E71"/>
    <w:rsid w:val="009702FD"/>
    <w:rsid w:val="009742E3"/>
    <w:rsid w:val="009959CF"/>
    <w:rsid w:val="009A2E74"/>
    <w:rsid w:val="009B2CC8"/>
    <w:rsid w:val="009B3E04"/>
    <w:rsid w:val="009B4ACA"/>
    <w:rsid w:val="009B756F"/>
    <w:rsid w:val="009B7D93"/>
    <w:rsid w:val="009C500F"/>
    <w:rsid w:val="009D36C1"/>
    <w:rsid w:val="009E018D"/>
    <w:rsid w:val="009F2B38"/>
    <w:rsid w:val="00A37862"/>
    <w:rsid w:val="00A37A42"/>
    <w:rsid w:val="00A5686B"/>
    <w:rsid w:val="00A8783B"/>
    <w:rsid w:val="00AB0E10"/>
    <w:rsid w:val="00AB4CA8"/>
    <w:rsid w:val="00AD6C9B"/>
    <w:rsid w:val="00B04614"/>
    <w:rsid w:val="00B15323"/>
    <w:rsid w:val="00B15BDF"/>
    <w:rsid w:val="00B8760D"/>
    <w:rsid w:val="00B90C5E"/>
    <w:rsid w:val="00BA5051"/>
    <w:rsid w:val="00BB5D92"/>
    <w:rsid w:val="00BC123A"/>
    <w:rsid w:val="00BD1E6C"/>
    <w:rsid w:val="00BE2E28"/>
    <w:rsid w:val="00BF0B99"/>
    <w:rsid w:val="00BF3D83"/>
    <w:rsid w:val="00C259F9"/>
    <w:rsid w:val="00C2636E"/>
    <w:rsid w:val="00C26CA5"/>
    <w:rsid w:val="00C27B79"/>
    <w:rsid w:val="00C27CDE"/>
    <w:rsid w:val="00C303AA"/>
    <w:rsid w:val="00C308B1"/>
    <w:rsid w:val="00C524BD"/>
    <w:rsid w:val="00C66873"/>
    <w:rsid w:val="00C91FB7"/>
    <w:rsid w:val="00CC58B2"/>
    <w:rsid w:val="00CD5967"/>
    <w:rsid w:val="00CE04D1"/>
    <w:rsid w:val="00CE1D2A"/>
    <w:rsid w:val="00CF2E44"/>
    <w:rsid w:val="00CF7074"/>
    <w:rsid w:val="00D056A6"/>
    <w:rsid w:val="00D17C4B"/>
    <w:rsid w:val="00D249D9"/>
    <w:rsid w:val="00D255D2"/>
    <w:rsid w:val="00D37BC9"/>
    <w:rsid w:val="00D40212"/>
    <w:rsid w:val="00D530BC"/>
    <w:rsid w:val="00D71281"/>
    <w:rsid w:val="00D75E74"/>
    <w:rsid w:val="00DD43BF"/>
    <w:rsid w:val="00DE2247"/>
    <w:rsid w:val="00DE6509"/>
    <w:rsid w:val="00E03187"/>
    <w:rsid w:val="00E04FBB"/>
    <w:rsid w:val="00E05953"/>
    <w:rsid w:val="00E27ED9"/>
    <w:rsid w:val="00E35B1E"/>
    <w:rsid w:val="00E40FC7"/>
    <w:rsid w:val="00E41FEA"/>
    <w:rsid w:val="00E465AE"/>
    <w:rsid w:val="00E50A65"/>
    <w:rsid w:val="00E84088"/>
    <w:rsid w:val="00EA11FF"/>
    <w:rsid w:val="00EA3497"/>
    <w:rsid w:val="00EA5FD5"/>
    <w:rsid w:val="00EB398E"/>
    <w:rsid w:val="00EC18F8"/>
    <w:rsid w:val="00EC19EC"/>
    <w:rsid w:val="00EE2B33"/>
    <w:rsid w:val="00EE6B7E"/>
    <w:rsid w:val="00F03E23"/>
    <w:rsid w:val="00F279DB"/>
    <w:rsid w:val="00F40C60"/>
    <w:rsid w:val="00F73645"/>
    <w:rsid w:val="00F764B2"/>
    <w:rsid w:val="00F80A7C"/>
    <w:rsid w:val="00F927EE"/>
    <w:rsid w:val="00F94D3F"/>
    <w:rsid w:val="00FA38EC"/>
    <w:rsid w:val="00FE0943"/>
    <w:rsid w:val="00FE7497"/>
    <w:rsid w:val="00FF0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76785-7788-46ED-9E1F-7697FE58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3F"/>
    <w:pPr>
      <w:spacing w:after="0" w:line="240" w:lineRule="auto"/>
    </w:pPr>
    <w:rPr>
      <w:rFonts w:ascii="Times New Roman" w:eastAsia="MS Mincho" w:hAnsi="Times New Roman" w:cs="Times New Roman"/>
      <w:sz w:val="24"/>
      <w:szCs w:val="24"/>
      <w:lang w:eastAsia="hr-HR"/>
    </w:rPr>
  </w:style>
  <w:style w:type="paragraph" w:styleId="Naslov1">
    <w:name w:val="heading 1"/>
    <w:basedOn w:val="Normal"/>
    <w:next w:val="Normal"/>
    <w:link w:val="Naslov1Char"/>
    <w:qFormat/>
    <w:rsid w:val="00F94D3F"/>
    <w:pPr>
      <w:keepNext/>
      <w:outlineLvl w:val="0"/>
    </w:pPr>
    <w:rPr>
      <w:rFonts w:eastAsia="Times New Roman"/>
      <w:b/>
      <w:i/>
      <w:sz w:val="22"/>
      <w:szCs w:val="20"/>
      <w:lang w:val="en-AU"/>
    </w:rPr>
  </w:style>
  <w:style w:type="paragraph" w:styleId="Naslov3">
    <w:name w:val="heading 3"/>
    <w:basedOn w:val="Normal"/>
    <w:next w:val="Normal"/>
    <w:link w:val="Naslov3Char"/>
    <w:uiPriority w:val="9"/>
    <w:semiHidden/>
    <w:unhideWhenUsed/>
    <w:qFormat/>
    <w:rsid w:val="00BF3D83"/>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iPriority w:val="9"/>
    <w:semiHidden/>
    <w:unhideWhenUsed/>
    <w:qFormat/>
    <w:rsid w:val="00BF3D83"/>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semiHidden/>
    <w:unhideWhenUsed/>
    <w:qFormat/>
    <w:rsid w:val="00BF3D83"/>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uiPriority w:val="9"/>
    <w:semiHidden/>
    <w:unhideWhenUsed/>
    <w:qFormat/>
    <w:rsid w:val="00BF3D83"/>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ormal"/>
    <w:next w:val="Normal"/>
    <w:link w:val="Naslov7Char"/>
    <w:uiPriority w:val="9"/>
    <w:semiHidden/>
    <w:unhideWhenUsed/>
    <w:qFormat/>
    <w:rsid w:val="00BF3D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4D3F"/>
    <w:rPr>
      <w:rFonts w:ascii="Times New Roman" w:eastAsia="Times New Roman" w:hAnsi="Times New Roman" w:cs="Times New Roman"/>
      <w:b/>
      <w:i/>
      <w:szCs w:val="20"/>
      <w:lang w:val="en-AU" w:eastAsia="hr-HR"/>
    </w:rPr>
  </w:style>
  <w:style w:type="paragraph" w:styleId="Tekstbalonia">
    <w:name w:val="Balloon Text"/>
    <w:basedOn w:val="Normal"/>
    <w:link w:val="TekstbaloniaChar"/>
    <w:uiPriority w:val="99"/>
    <w:semiHidden/>
    <w:unhideWhenUsed/>
    <w:rsid w:val="00F94D3F"/>
    <w:rPr>
      <w:rFonts w:ascii="Tahoma" w:hAnsi="Tahoma" w:cs="Tahoma"/>
      <w:sz w:val="16"/>
      <w:szCs w:val="16"/>
    </w:rPr>
  </w:style>
  <w:style w:type="character" w:customStyle="1" w:styleId="TekstbaloniaChar">
    <w:name w:val="Tekst balončića Char"/>
    <w:basedOn w:val="Zadanifontodlomka"/>
    <w:link w:val="Tekstbalonia"/>
    <w:uiPriority w:val="99"/>
    <w:semiHidden/>
    <w:rsid w:val="00F94D3F"/>
    <w:rPr>
      <w:rFonts w:ascii="Tahoma" w:eastAsia="MS Mincho" w:hAnsi="Tahoma" w:cs="Tahoma"/>
      <w:sz w:val="16"/>
      <w:szCs w:val="16"/>
      <w:lang w:eastAsia="hr-HR"/>
    </w:rPr>
  </w:style>
  <w:style w:type="paragraph" w:styleId="Bezproreda">
    <w:name w:val="No Spacing"/>
    <w:uiPriority w:val="1"/>
    <w:qFormat/>
    <w:rsid w:val="000A4CE0"/>
    <w:pPr>
      <w:spacing w:after="0" w:line="240" w:lineRule="auto"/>
    </w:pPr>
    <w:rPr>
      <w:rFonts w:ascii="Times New Roman" w:eastAsia="MS Mincho" w:hAnsi="Times New Roman" w:cs="Times New Roman"/>
      <w:sz w:val="24"/>
      <w:szCs w:val="24"/>
      <w:lang w:eastAsia="hr-HR"/>
    </w:rPr>
  </w:style>
  <w:style w:type="paragraph" w:styleId="Odlomakpopisa">
    <w:name w:val="List Paragraph"/>
    <w:basedOn w:val="Normal"/>
    <w:uiPriority w:val="1"/>
    <w:qFormat/>
    <w:rsid w:val="005E1039"/>
    <w:pPr>
      <w:ind w:left="720"/>
      <w:contextualSpacing/>
    </w:pPr>
  </w:style>
  <w:style w:type="character" w:customStyle="1" w:styleId="Naslov3Char">
    <w:name w:val="Naslov 3 Char"/>
    <w:basedOn w:val="Zadanifontodlomka"/>
    <w:link w:val="Naslov3"/>
    <w:uiPriority w:val="9"/>
    <w:semiHidden/>
    <w:rsid w:val="00BF3D83"/>
    <w:rPr>
      <w:rFonts w:asciiTheme="majorHAnsi" w:eastAsiaTheme="majorEastAsia" w:hAnsiTheme="majorHAnsi" w:cstheme="majorBidi"/>
      <w:color w:val="243F60" w:themeColor="accent1" w:themeShade="7F"/>
      <w:sz w:val="24"/>
      <w:szCs w:val="24"/>
      <w:lang w:eastAsia="hr-HR"/>
    </w:rPr>
  </w:style>
  <w:style w:type="character" w:customStyle="1" w:styleId="Naslov4Char">
    <w:name w:val="Naslov 4 Char"/>
    <w:basedOn w:val="Zadanifontodlomka"/>
    <w:link w:val="Naslov4"/>
    <w:uiPriority w:val="9"/>
    <w:semiHidden/>
    <w:rsid w:val="00BF3D83"/>
    <w:rPr>
      <w:rFonts w:asciiTheme="majorHAnsi" w:eastAsiaTheme="majorEastAsia" w:hAnsiTheme="majorHAnsi" w:cstheme="majorBidi"/>
      <w:i/>
      <w:iCs/>
      <w:color w:val="365F91" w:themeColor="accent1" w:themeShade="BF"/>
      <w:sz w:val="24"/>
      <w:szCs w:val="24"/>
      <w:lang w:eastAsia="hr-HR"/>
    </w:rPr>
  </w:style>
  <w:style w:type="character" w:customStyle="1" w:styleId="Naslov5Char">
    <w:name w:val="Naslov 5 Char"/>
    <w:basedOn w:val="Zadanifontodlomka"/>
    <w:link w:val="Naslov5"/>
    <w:uiPriority w:val="9"/>
    <w:semiHidden/>
    <w:rsid w:val="00BF3D83"/>
    <w:rPr>
      <w:rFonts w:asciiTheme="majorHAnsi" w:eastAsiaTheme="majorEastAsia" w:hAnsiTheme="majorHAnsi" w:cstheme="majorBidi"/>
      <w:color w:val="365F91" w:themeColor="accent1" w:themeShade="BF"/>
      <w:sz w:val="24"/>
      <w:szCs w:val="24"/>
      <w:lang w:eastAsia="hr-HR"/>
    </w:rPr>
  </w:style>
  <w:style w:type="character" w:customStyle="1" w:styleId="Naslov6Char">
    <w:name w:val="Naslov 6 Char"/>
    <w:basedOn w:val="Zadanifontodlomka"/>
    <w:link w:val="Naslov6"/>
    <w:uiPriority w:val="9"/>
    <w:semiHidden/>
    <w:rsid w:val="00BF3D83"/>
    <w:rPr>
      <w:rFonts w:asciiTheme="majorHAnsi" w:eastAsiaTheme="majorEastAsia" w:hAnsiTheme="majorHAnsi" w:cstheme="majorBidi"/>
      <w:color w:val="243F60" w:themeColor="accent1" w:themeShade="7F"/>
      <w:sz w:val="24"/>
      <w:szCs w:val="24"/>
      <w:lang w:eastAsia="hr-HR"/>
    </w:rPr>
  </w:style>
  <w:style w:type="character" w:customStyle="1" w:styleId="Naslov7Char">
    <w:name w:val="Naslov 7 Char"/>
    <w:basedOn w:val="Zadanifontodlomka"/>
    <w:link w:val="Naslov7"/>
    <w:uiPriority w:val="9"/>
    <w:semiHidden/>
    <w:rsid w:val="00BF3D83"/>
    <w:rPr>
      <w:rFonts w:asciiTheme="majorHAnsi" w:eastAsiaTheme="majorEastAsia" w:hAnsiTheme="majorHAnsi" w:cstheme="majorBidi"/>
      <w:i/>
      <w:iCs/>
      <w:color w:val="243F60" w:themeColor="accent1" w:themeShade="7F"/>
      <w:sz w:val="24"/>
      <w:szCs w:val="24"/>
      <w:lang w:eastAsia="hr-HR"/>
    </w:rPr>
  </w:style>
  <w:style w:type="paragraph" w:styleId="Tijeloteksta">
    <w:name w:val="Body Text"/>
    <w:basedOn w:val="Normal"/>
    <w:link w:val="TijelotekstaChar"/>
    <w:uiPriority w:val="1"/>
    <w:unhideWhenUsed/>
    <w:qFormat/>
    <w:rsid w:val="00BF3D83"/>
    <w:pPr>
      <w:widowControl w:val="0"/>
      <w:autoSpaceDE w:val="0"/>
      <w:autoSpaceDN w:val="0"/>
    </w:pPr>
    <w:rPr>
      <w:rFonts w:ascii="Calibri" w:eastAsia="Calibri" w:hAnsi="Calibri" w:cs="Calibri"/>
      <w:sz w:val="20"/>
      <w:szCs w:val="20"/>
      <w:lang w:val="en-US" w:eastAsia="en-US"/>
    </w:rPr>
  </w:style>
  <w:style w:type="character" w:customStyle="1" w:styleId="TijelotekstaChar">
    <w:name w:val="Tijelo teksta Char"/>
    <w:basedOn w:val="Zadanifontodlomka"/>
    <w:link w:val="Tijeloteksta"/>
    <w:uiPriority w:val="1"/>
    <w:rsid w:val="00BF3D83"/>
    <w:rPr>
      <w:rFonts w:ascii="Calibri" w:eastAsia="Calibri" w:hAnsi="Calibri" w:cs="Calibri"/>
      <w:sz w:val="20"/>
      <w:szCs w:val="20"/>
      <w:lang w:val="en-US"/>
    </w:rPr>
  </w:style>
  <w:style w:type="character" w:styleId="Hiperveza">
    <w:name w:val="Hyperlink"/>
    <w:basedOn w:val="Zadanifontodlomka"/>
    <w:uiPriority w:val="99"/>
    <w:semiHidden/>
    <w:unhideWhenUsed/>
    <w:rsid w:val="00BF3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2055</Words>
  <Characters>11714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Tićak¸</dc:creator>
  <cp:lastModifiedBy>Milan Tićak</cp:lastModifiedBy>
  <cp:revision>14</cp:revision>
  <cp:lastPrinted>2015-04-02T07:43:00Z</cp:lastPrinted>
  <dcterms:created xsi:type="dcterms:W3CDTF">2018-03-01T14:14:00Z</dcterms:created>
  <dcterms:modified xsi:type="dcterms:W3CDTF">2018-03-07T08:03:00Z</dcterms:modified>
</cp:coreProperties>
</file>