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6961"/>
        <w:gridCol w:w="445"/>
      </w:tblGrid>
      <w:tr w:rsidR="00AA52B1" w:rsidRPr="00DF6FC1" w:rsidTr="00C77BD3">
        <w:trPr>
          <w:trHeight w:val="142"/>
        </w:trPr>
        <w:tc>
          <w:tcPr>
            <w:tcW w:w="937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A52B1" w:rsidRPr="00DF6FC1" w:rsidRDefault="00AA52B1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</w:pPr>
          </w:p>
        </w:tc>
      </w:tr>
      <w:tr w:rsidR="00AA52B1" w:rsidRPr="00DF6FC1" w:rsidTr="00C77BD3">
        <w:trPr>
          <w:trHeight w:val="371"/>
        </w:trPr>
        <w:tc>
          <w:tcPr>
            <w:tcW w:w="937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AA52B1" w:rsidRPr="00DF6FC1" w:rsidRDefault="00AA52B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</w:pPr>
            <w:r w:rsidRPr="00DF6FC1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ZAPISNIK SA SASTANKA</w:t>
            </w:r>
          </w:p>
        </w:tc>
      </w:tr>
      <w:tr w:rsidR="00AA52B1" w:rsidRPr="00DF6FC1" w:rsidTr="00C77BD3">
        <w:trPr>
          <w:trHeight w:val="147"/>
        </w:trPr>
        <w:tc>
          <w:tcPr>
            <w:tcW w:w="9379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A52B1" w:rsidRPr="00DF6FC1" w:rsidRDefault="00AA52B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</w:p>
        </w:tc>
      </w:tr>
      <w:tr w:rsidR="00AA52B1" w:rsidRPr="00DF6FC1" w:rsidTr="00C77BD3">
        <w:tblPrEx>
          <w:tblLook w:val="01E0" w:firstRow="1" w:lastRow="1" w:firstColumn="1" w:lastColumn="1" w:noHBand="0" w:noVBand="0"/>
        </w:tblPrEx>
        <w:trPr>
          <w:gridAfter w:val="1"/>
          <w:wAfter w:w="445" w:type="dxa"/>
          <w:trHeight w:val="555"/>
        </w:trPr>
        <w:tc>
          <w:tcPr>
            <w:tcW w:w="1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A52B1" w:rsidRPr="00DF6FC1" w:rsidRDefault="00AA52B1">
            <w:p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</w:pPr>
            <w:r w:rsidRPr="00DF6FC1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Naziv sastanka:</w:t>
            </w:r>
          </w:p>
        </w:tc>
        <w:tc>
          <w:tcPr>
            <w:tcW w:w="69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2B1" w:rsidRPr="00DF6FC1" w:rsidRDefault="00DC47D4" w:rsidP="00656153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</w:t>
            </w:r>
            <w:r w:rsidR="00AA52B1" w:rsidRPr="00DF6FC1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. </w:t>
            </w:r>
            <w:r w:rsidR="00CC1EA7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Sjednica</w:t>
            </w:r>
            <w:r w:rsidR="003062D5" w:rsidRPr="00DF6FC1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 </w:t>
            </w:r>
            <w:r w:rsidR="00656153" w:rsidRPr="00DF6FC1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Gospodarskog savjeta Općinskog načelnika Općine Kostrena </w:t>
            </w:r>
          </w:p>
        </w:tc>
      </w:tr>
    </w:tbl>
    <w:p w:rsidR="00AA52B1" w:rsidRPr="00DF6FC1" w:rsidRDefault="00AA52B1" w:rsidP="00AA52B1">
      <w:pPr>
        <w:rPr>
          <w:rFonts w:ascii="Times New Roman" w:hAnsi="Times New Roman"/>
          <w:color w:val="000000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6"/>
        <w:gridCol w:w="1525"/>
        <w:gridCol w:w="3484"/>
        <w:gridCol w:w="1421"/>
        <w:gridCol w:w="2058"/>
      </w:tblGrid>
      <w:tr w:rsidR="00AA52B1" w:rsidRPr="00DF6FC1" w:rsidTr="00AA52B1">
        <w:trPr>
          <w:trHeight w:val="567"/>
        </w:trPr>
        <w:tc>
          <w:tcPr>
            <w:tcW w:w="4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AA52B1" w:rsidRPr="00DF6FC1" w:rsidRDefault="00AA52B1">
            <w:p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</w:pPr>
            <w:r w:rsidRPr="00DF6FC1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1.</w:t>
            </w:r>
          </w:p>
        </w:tc>
        <w:tc>
          <w:tcPr>
            <w:tcW w:w="158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A52B1" w:rsidRPr="00DF6FC1" w:rsidRDefault="00AA52B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</w:pPr>
            <w:r w:rsidRPr="00DF6FC1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Mjesto:</w:t>
            </w:r>
          </w:p>
        </w:tc>
        <w:tc>
          <w:tcPr>
            <w:tcW w:w="37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AA52B1" w:rsidRPr="00DF6FC1" w:rsidRDefault="003062D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DF6FC1">
              <w:rPr>
                <w:rFonts w:ascii="Times New Roman" w:hAnsi="Times New Roman"/>
                <w:bCs/>
                <w:iCs/>
                <w:sz w:val="22"/>
                <w:szCs w:val="22"/>
                <w:lang w:val="hr-HR" w:eastAsia="hr-HR"/>
              </w:rPr>
              <w:t>Zgrada Općine Kostrena, Sveta Lucija 38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A52B1" w:rsidRPr="00DF6FC1" w:rsidRDefault="00AA52B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</w:pPr>
            <w:r w:rsidRPr="00DF6FC1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Početak:</w:t>
            </w:r>
          </w:p>
        </w:tc>
        <w:tc>
          <w:tcPr>
            <w:tcW w:w="218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AA52B1" w:rsidRPr="00DF6FC1" w:rsidRDefault="00EB7E40" w:rsidP="0065615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F6FC1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  <w:r w:rsidR="00656153" w:rsidRPr="00DF6FC1">
              <w:rPr>
                <w:rFonts w:ascii="Times New Roman" w:hAnsi="Times New Roman"/>
                <w:sz w:val="22"/>
                <w:szCs w:val="22"/>
                <w:lang w:val="hr-HR"/>
              </w:rPr>
              <w:t>4:</w:t>
            </w:r>
            <w:r w:rsidR="004303C3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  <w:r w:rsidR="00AA52B1" w:rsidRPr="00DF6FC1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</w:tr>
      <w:tr w:rsidR="00AA52B1" w:rsidRPr="00DF6FC1" w:rsidTr="00AA52B1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A52B1" w:rsidRPr="00DF6FC1" w:rsidRDefault="00AA52B1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A52B1" w:rsidRPr="00DF6FC1" w:rsidRDefault="00AA52B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</w:pPr>
            <w:r w:rsidRPr="00DF6FC1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Dan i datum: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2B1" w:rsidRPr="00DF6FC1" w:rsidRDefault="00DC47D4" w:rsidP="0065615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hr-HR" w:eastAsia="hr-HR"/>
              </w:rPr>
              <w:t>Četvrtak</w:t>
            </w:r>
            <w:r w:rsidR="00656153" w:rsidRPr="00DF6FC1">
              <w:rPr>
                <w:rFonts w:ascii="Times New Roman" w:hAnsi="Times New Roman"/>
                <w:bCs/>
                <w:iCs/>
                <w:sz w:val="22"/>
                <w:szCs w:val="22"/>
                <w:lang w:val="hr-HR" w:eastAsia="hr-HR"/>
              </w:rPr>
              <w:t xml:space="preserve">, 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val="hr-HR" w:eastAsia="hr-HR"/>
              </w:rPr>
              <w:t>09</w:t>
            </w:r>
            <w:r w:rsidR="00656153" w:rsidRPr="00DF6FC1">
              <w:rPr>
                <w:rFonts w:ascii="Times New Roman" w:hAnsi="Times New Roman"/>
                <w:bCs/>
                <w:iCs/>
                <w:sz w:val="22"/>
                <w:szCs w:val="22"/>
                <w:lang w:val="hr-HR" w:eastAsia="hr-HR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val="hr-HR" w:eastAsia="hr-HR"/>
              </w:rPr>
              <w:t>svibnja</w:t>
            </w:r>
            <w:r w:rsidR="00656153" w:rsidRPr="00DF6FC1">
              <w:rPr>
                <w:rFonts w:ascii="Times New Roman" w:hAnsi="Times New Roman"/>
                <w:bCs/>
                <w:iCs/>
                <w:sz w:val="22"/>
                <w:szCs w:val="22"/>
                <w:lang w:val="hr-HR" w:eastAsia="hr-HR"/>
              </w:rPr>
              <w:t xml:space="preserve"> </w:t>
            </w:r>
            <w:r w:rsidR="00EB7E40" w:rsidRPr="00DF6FC1">
              <w:rPr>
                <w:rFonts w:ascii="Times New Roman" w:hAnsi="Times New Roman"/>
                <w:bCs/>
                <w:iCs/>
                <w:sz w:val="22"/>
                <w:szCs w:val="22"/>
                <w:lang w:val="hr-HR" w:eastAsia="hr-HR"/>
              </w:rPr>
              <w:t>201</w:t>
            </w:r>
            <w:r w:rsidR="00E604B6">
              <w:rPr>
                <w:rFonts w:ascii="Times New Roman" w:hAnsi="Times New Roman"/>
                <w:bCs/>
                <w:iCs/>
                <w:sz w:val="22"/>
                <w:szCs w:val="22"/>
                <w:lang w:val="hr-HR" w:eastAsia="hr-HR"/>
              </w:rPr>
              <w:t>9</w:t>
            </w:r>
            <w:bookmarkStart w:id="0" w:name="_GoBack"/>
            <w:bookmarkEnd w:id="0"/>
            <w:r w:rsidR="003062D5" w:rsidRPr="00DF6FC1">
              <w:rPr>
                <w:rFonts w:ascii="Times New Roman" w:hAnsi="Times New Roman"/>
                <w:bCs/>
                <w:iCs/>
                <w:sz w:val="22"/>
                <w:szCs w:val="22"/>
                <w:lang w:val="hr-HR" w:eastAsia="hr-HR"/>
              </w:rPr>
              <w:t xml:space="preserve">. </w:t>
            </w:r>
          </w:p>
        </w:tc>
        <w:tc>
          <w:tcPr>
            <w:tcW w:w="143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A52B1" w:rsidRPr="00DF6FC1" w:rsidRDefault="00AA52B1">
            <w:p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</w:pPr>
            <w:r w:rsidRPr="00DF6FC1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Završetak: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2B1" w:rsidRPr="00DF6FC1" w:rsidRDefault="00656153" w:rsidP="00EB7E4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F6FC1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  <w:r w:rsidR="004303C3">
              <w:rPr>
                <w:rFonts w:ascii="Times New Roman" w:hAnsi="Times New Roman"/>
                <w:sz w:val="22"/>
                <w:szCs w:val="22"/>
                <w:lang w:val="hr-HR"/>
              </w:rPr>
              <w:t>5</w:t>
            </w:r>
            <w:r w:rsidR="00425869" w:rsidRPr="00DF6FC1">
              <w:rPr>
                <w:rFonts w:ascii="Times New Roman" w:hAnsi="Times New Roman"/>
                <w:sz w:val="22"/>
                <w:szCs w:val="22"/>
                <w:lang w:val="hr-HR"/>
              </w:rPr>
              <w:t>:</w:t>
            </w:r>
            <w:r w:rsidR="004303C3">
              <w:rPr>
                <w:rFonts w:ascii="Times New Roman" w:hAnsi="Times New Roman"/>
                <w:sz w:val="22"/>
                <w:szCs w:val="22"/>
                <w:lang w:val="hr-HR"/>
              </w:rPr>
              <w:t>3</w:t>
            </w:r>
            <w:r w:rsidR="00AA52B1" w:rsidRPr="00DF6FC1">
              <w:rPr>
                <w:rFonts w:ascii="Times New Roman" w:hAnsi="Times New Roman"/>
                <w:sz w:val="22"/>
                <w:szCs w:val="22"/>
                <w:lang w:val="hr-HR"/>
              </w:rPr>
              <w:t>0</w:t>
            </w:r>
          </w:p>
        </w:tc>
      </w:tr>
    </w:tbl>
    <w:p w:rsidR="00AA52B1" w:rsidRPr="00DF6FC1" w:rsidRDefault="00AA52B1" w:rsidP="00AA52B1">
      <w:pPr>
        <w:rPr>
          <w:rFonts w:ascii="Times New Roman" w:hAnsi="Times New Roman"/>
          <w:color w:val="000000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6"/>
        <w:gridCol w:w="1553"/>
        <w:gridCol w:w="6855"/>
      </w:tblGrid>
      <w:tr w:rsidR="00AA52B1" w:rsidRPr="00DF6FC1" w:rsidTr="000E659D">
        <w:trPr>
          <w:trHeight w:val="2160"/>
        </w:trPr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AA52B1" w:rsidRPr="00DF6FC1" w:rsidRDefault="00AA52B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</w:pPr>
            <w:r w:rsidRPr="00DF6FC1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2.</w:t>
            </w:r>
          </w:p>
        </w:tc>
        <w:tc>
          <w:tcPr>
            <w:tcW w:w="158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AA52B1" w:rsidRPr="00DF6FC1" w:rsidRDefault="00AA52B1">
            <w:pPr>
              <w:spacing w:line="276" w:lineRule="auto"/>
              <w:ind w:left="-125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</w:pPr>
            <w:r w:rsidRPr="00DF6FC1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Prisutni:</w:t>
            </w:r>
          </w:p>
        </w:tc>
        <w:tc>
          <w:tcPr>
            <w:tcW w:w="706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A52B1" w:rsidRPr="00DF6FC1" w:rsidRDefault="00656153" w:rsidP="00DC47D4">
            <w:pPr>
              <w:numPr>
                <w:ilvl w:val="0"/>
                <w:numId w:val="6"/>
              </w:numPr>
              <w:spacing w:line="276" w:lineRule="auto"/>
              <w:ind w:right="-8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DF6FC1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Dražen Vranić</w:t>
            </w:r>
            <w:r w:rsidR="00EB7E40" w:rsidRPr="00DF6FC1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, Općinsk</w:t>
            </w:r>
            <w:r w:rsidRPr="00DF6FC1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i Načelnik </w:t>
            </w:r>
          </w:p>
          <w:p w:rsidR="00587D62" w:rsidRDefault="003062D5" w:rsidP="002C6AEA">
            <w:pPr>
              <w:numPr>
                <w:ilvl w:val="0"/>
                <w:numId w:val="6"/>
              </w:numPr>
              <w:spacing w:line="276" w:lineRule="auto"/>
              <w:ind w:right="-8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587D62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Martina Zekić, </w:t>
            </w:r>
            <w:r w:rsidR="00EB7E40" w:rsidRPr="00587D62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Viši stručni </w:t>
            </w:r>
            <w:proofErr w:type="spellStart"/>
            <w:r w:rsidR="00EB7E40" w:rsidRPr="00587D62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stručni</w:t>
            </w:r>
            <w:proofErr w:type="spellEnd"/>
            <w:r w:rsidR="00EB7E40" w:rsidRPr="00587D62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 suradnik za </w:t>
            </w:r>
            <w:r w:rsidR="00587D62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gospodarstvo, razvoj i pripremu projekata</w:t>
            </w:r>
          </w:p>
          <w:p w:rsidR="00EB7E40" w:rsidRPr="00587D62" w:rsidRDefault="00EB7E40" w:rsidP="002C6AEA">
            <w:pPr>
              <w:numPr>
                <w:ilvl w:val="0"/>
                <w:numId w:val="6"/>
              </w:numPr>
              <w:spacing w:line="276" w:lineRule="auto"/>
              <w:ind w:right="-8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587D62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Celio Klapčić, tehnički direktor pogona TE Rijeka, HEP proizvodnja</w:t>
            </w:r>
          </w:p>
          <w:p w:rsidR="001411F1" w:rsidRPr="00DF6FC1" w:rsidRDefault="00656153" w:rsidP="00DC47D4">
            <w:pPr>
              <w:numPr>
                <w:ilvl w:val="0"/>
                <w:numId w:val="6"/>
              </w:numPr>
              <w:spacing w:line="276" w:lineRule="auto"/>
              <w:ind w:right="-8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proofErr w:type="spellStart"/>
            <w:r w:rsidRPr="00DF6FC1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Berisav</w:t>
            </w:r>
            <w:proofErr w:type="spellEnd"/>
            <w:r w:rsidRPr="00DF6FC1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 Vranic, direktor</w:t>
            </w:r>
            <w:r w:rsidR="001411F1" w:rsidRPr="00DF6FC1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 tvrtke </w:t>
            </w:r>
            <w:proofErr w:type="spellStart"/>
            <w:r w:rsidR="001411F1" w:rsidRPr="00DF6FC1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Damaco</w:t>
            </w:r>
            <w:proofErr w:type="spellEnd"/>
            <w:r w:rsidR="001411F1" w:rsidRPr="00DF6FC1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 d.o.o.</w:t>
            </w:r>
          </w:p>
          <w:p w:rsidR="001411F1" w:rsidRDefault="00656153" w:rsidP="00DC47D4">
            <w:pPr>
              <w:numPr>
                <w:ilvl w:val="0"/>
                <w:numId w:val="6"/>
              </w:numPr>
              <w:spacing w:line="276" w:lineRule="auto"/>
              <w:ind w:right="-8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DF6FC1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Senad Bešić, glavni stručnjak za tehnologije, INA industrija nafte d.d. </w:t>
            </w:r>
          </w:p>
          <w:p w:rsidR="00DC47D4" w:rsidRDefault="00DC47D4" w:rsidP="00DC47D4">
            <w:pPr>
              <w:numPr>
                <w:ilvl w:val="0"/>
                <w:numId w:val="6"/>
              </w:numPr>
              <w:spacing w:line="276" w:lineRule="auto"/>
              <w:ind w:right="-8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DF6FC1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Željko Šmitran, izvršni direktor, IND-EKO d.o.o.</w:t>
            </w:r>
          </w:p>
          <w:p w:rsidR="00656153" w:rsidRPr="00DF6FC1" w:rsidRDefault="00656153" w:rsidP="00DC47D4">
            <w:pPr>
              <w:numPr>
                <w:ilvl w:val="0"/>
                <w:numId w:val="6"/>
              </w:numPr>
              <w:spacing w:line="276" w:lineRule="auto"/>
              <w:ind w:right="-8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DF6FC1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Mirna Dujmović </w:t>
            </w:r>
            <w:proofErr w:type="spellStart"/>
            <w:r w:rsidRPr="00DF6FC1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Cerivac</w:t>
            </w:r>
            <w:proofErr w:type="spellEnd"/>
            <w:r w:rsidRPr="00DF6FC1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, član</w:t>
            </w:r>
            <w:r w:rsidR="00E27D43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ica</w:t>
            </w:r>
            <w:r w:rsidRPr="00DF6FC1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 uprave Dezinsekcija d.o.o. Rijeka</w:t>
            </w:r>
          </w:p>
        </w:tc>
      </w:tr>
    </w:tbl>
    <w:p w:rsidR="00AA52B1" w:rsidRPr="00DF6FC1" w:rsidRDefault="00AA52B1" w:rsidP="00AA52B1">
      <w:pPr>
        <w:rPr>
          <w:rFonts w:ascii="Times New Roman" w:hAnsi="Times New Roman"/>
          <w:color w:val="000000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4"/>
        <w:gridCol w:w="1572"/>
        <w:gridCol w:w="6948"/>
      </w:tblGrid>
      <w:tr w:rsidR="00AA52B1" w:rsidRPr="00DF6FC1" w:rsidTr="00AA52B1">
        <w:trPr>
          <w:trHeight w:val="625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AA52B1" w:rsidRPr="00DF6FC1" w:rsidRDefault="00AA52B1">
            <w:pPr>
              <w:spacing w:before="240"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</w:pPr>
            <w:r w:rsidRPr="00DF6FC1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3.</w:t>
            </w:r>
          </w:p>
        </w:tc>
        <w:tc>
          <w:tcPr>
            <w:tcW w:w="16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AA52B1" w:rsidRPr="00DF6FC1" w:rsidRDefault="00AA52B1">
            <w:p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</w:pPr>
            <w:r w:rsidRPr="00DF6FC1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Odsutni:</w:t>
            </w:r>
          </w:p>
        </w:tc>
        <w:tc>
          <w:tcPr>
            <w:tcW w:w="734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11F1" w:rsidRPr="00DF6FC1" w:rsidRDefault="00E27D43" w:rsidP="00D11E80">
            <w:pPr>
              <w:numPr>
                <w:ilvl w:val="0"/>
                <w:numId w:val="9"/>
              </w:numPr>
              <w:spacing w:line="276" w:lineRule="auto"/>
              <w:ind w:right="-83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Maja Kriška, voditeljica Službe za zaštitu okoliša, Brodogradilište Viktor Lenac</w:t>
            </w:r>
          </w:p>
        </w:tc>
      </w:tr>
    </w:tbl>
    <w:p w:rsidR="00AA52B1" w:rsidRPr="00DF6FC1" w:rsidRDefault="00AA52B1" w:rsidP="00AA52B1">
      <w:pPr>
        <w:jc w:val="both"/>
        <w:rPr>
          <w:rFonts w:ascii="Times New Roman" w:hAnsi="Times New Roman"/>
          <w:color w:val="000000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1"/>
        <w:gridCol w:w="1187"/>
        <w:gridCol w:w="7366"/>
      </w:tblGrid>
      <w:tr w:rsidR="00AA52B1" w:rsidRPr="00DF6FC1" w:rsidTr="00921052">
        <w:trPr>
          <w:trHeight w:val="242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AA52B1" w:rsidRPr="00DF6FC1" w:rsidRDefault="00AA52B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</w:pPr>
            <w:r w:rsidRPr="00DF6FC1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4.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AA52B1" w:rsidRPr="00DF6FC1" w:rsidRDefault="00AA52B1">
            <w:pPr>
              <w:spacing w:line="276" w:lineRule="auto"/>
              <w:ind w:left="-125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</w:pPr>
            <w:r w:rsidRPr="00DF6FC1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Dnevni red: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52B1" w:rsidRPr="00DF6FC1" w:rsidRDefault="00AA52B1">
            <w:pPr>
              <w:spacing w:line="276" w:lineRule="auto"/>
              <w:ind w:right="-222"/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DF6FC1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DNEVNI RED: </w:t>
            </w:r>
          </w:p>
          <w:p w:rsidR="00030E63" w:rsidRDefault="00030E63" w:rsidP="00030E63">
            <w:pPr>
              <w:numPr>
                <w:ilvl w:val="0"/>
                <w:numId w:val="15"/>
              </w:num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030E63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Vizija i zapažanje malih i srednje velikih privrednih subjekata na suradnju sa Općinom</w:t>
            </w:r>
          </w:p>
          <w:p w:rsidR="00030E63" w:rsidRPr="00030E63" w:rsidRDefault="00030E63" w:rsidP="00030E63">
            <w:pPr>
              <w:ind w:left="1068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030E63" w:rsidRDefault="00030E63" w:rsidP="00030E63">
            <w:pPr>
              <w:numPr>
                <w:ilvl w:val="0"/>
                <w:numId w:val="15"/>
              </w:num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030E63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Organizacija i provođenje programa „Poslovni uspjeh“ u 2019. godin</w:t>
            </w: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i</w:t>
            </w:r>
          </w:p>
          <w:p w:rsidR="00030E63" w:rsidRDefault="00030E63" w:rsidP="00030E63">
            <w:pPr>
              <w:pStyle w:val="Odlomakpopisa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  <w:p w:rsidR="00030E63" w:rsidRPr="00030E63" w:rsidRDefault="00030E63" w:rsidP="00030E63">
            <w:pPr>
              <w:numPr>
                <w:ilvl w:val="0"/>
                <w:numId w:val="15"/>
              </w:num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030E63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Razno</w:t>
            </w:r>
          </w:p>
          <w:p w:rsidR="003062D5" w:rsidRPr="00DF6FC1" w:rsidRDefault="003062D5" w:rsidP="003062D5">
            <w:pPr>
              <w:spacing w:line="276" w:lineRule="auto"/>
              <w:ind w:left="720"/>
              <w:jc w:val="both"/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</w:pPr>
          </w:p>
          <w:p w:rsidR="00AA52B1" w:rsidRPr="00DF6FC1" w:rsidRDefault="00AA52B1" w:rsidP="00086D78">
            <w:pPr>
              <w:spacing w:line="276" w:lineRule="auto"/>
              <w:ind w:left="720"/>
              <w:jc w:val="both"/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AA52B1" w:rsidRPr="00DF6FC1" w:rsidRDefault="00AA52B1" w:rsidP="00AA52B1">
      <w:pPr>
        <w:rPr>
          <w:rFonts w:ascii="Times New Roman" w:hAnsi="Times New Roman"/>
          <w:color w:val="000000"/>
          <w:sz w:val="22"/>
          <w:szCs w:val="22"/>
          <w:lang w:val="hr-HR"/>
        </w:rPr>
      </w:pPr>
    </w:p>
    <w:tbl>
      <w:tblPr>
        <w:tblW w:w="9498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2114"/>
        <w:gridCol w:w="7354"/>
        <w:gridCol w:w="15"/>
      </w:tblGrid>
      <w:tr w:rsidR="00AA52B1" w:rsidRPr="00DF6FC1" w:rsidTr="00C77BD3">
        <w:trPr>
          <w:gridAfter w:val="1"/>
          <w:wAfter w:w="15" w:type="dxa"/>
        </w:trPr>
        <w:tc>
          <w:tcPr>
            <w:tcW w:w="9483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AA52B1" w:rsidRPr="00DF6FC1" w:rsidRDefault="00AA52B1" w:rsidP="00AC4430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</w:pPr>
            <w:r w:rsidRPr="00DF6FC1">
              <w:rPr>
                <w:rFonts w:ascii="Times New Roman" w:hAnsi="Times New Roman"/>
                <w:b/>
                <w:sz w:val="22"/>
                <w:szCs w:val="22"/>
                <w:lang w:val="hr-HR" w:eastAsia="hr-HR"/>
              </w:rPr>
              <w:t>Ad.</w:t>
            </w:r>
            <w:r w:rsidR="00AC4430" w:rsidRPr="00DF6FC1">
              <w:rPr>
                <w:rFonts w:ascii="Times New Roman" w:hAnsi="Times New Roman"/>
                <w:b/>
                <w:sz w:val="22"/>
                <w:szCs w:val="22"/>
                <w:lang w:val="hr-HR" w:eastAsia="hr-HR"/>
              </w:rPr>
              <w:t>1</w:t>
            </w:r>
            <w:r w:rsidRPr="00DF6FC1">
              <w:rPr>
                <w:rFonts w:ascii="Times New Roman" w:hAnsi="Times New Roman"/>
                <w:b/>
                <w:sz w:val="22"/>
                <w:szCs w:val="22"/>
                <w:lang w:val="hr-HR" w:eastAsia="hr-HR"/>
              </w:rPr>
              <w:t xml:space="preserve">. </w:t>
            </w:r>
            <w:r w:rsidR="00AC4430" w:rsidRPr="00DF6FC1">
              <w:rPr>
                <w:rFonts w:ascii="Times New Roman" w:hAnsi="Times New Roman"/>
                <w:b/>
                <w:sz w:val="22"/>
                <w:szCs w:val="22"/>
                <w:lang w:val="hr-HR" w:eastAsia="hr-HR"/>
              </w:rPr>
              <w:t>Dnevni red</w:t>
            </w:r>
          </w:p>
        </w:tc>
      </w:tr>
      <w:tr w:rsidR="00AA52B1" w:rsidRPr="00DF6FC1" w:rsidTr="00C77BD3">
        <w:trPr>
          <w:gridAfter w:val="1"/>
          <w:wAfter w:w="15" w:type="dxa"/>
          <w:trHeight w:val="2094"/>
        </w:trPr>
        <w:tc>
          <w:tcPr>
            <w:tcW w:w="948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30E63" w:rsidRDefault="00030E63" w:rsidP="005F72D3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  <w:p w:rsidR="00030E63" w:rsidRDefault="00030E63" w:rsidP="005F72D3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Predsjednik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Berislav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Vranić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pozdravio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prisutne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članove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otvorio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4.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Sjednicu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Gospodarskog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savjeta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Općinskog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Načelnika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. U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sklopu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prve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točke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dnevnog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reda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vizija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zapažanje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malih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srednje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velikih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privrednih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subjekata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suradnju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Općinom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Kostrena,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Predsjednik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obišao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nekoliko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gospodarskih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subjekata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ciljem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ispitivanja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prepoznavanja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njihovih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potreba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.</w:t>
            </w:r>
          </w:p>
          <w:p w:rsidR="00030E63" w:rsidRDefault="00030E63" w:rsidP="005F72D3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  <w:p w:rsidR="00030E63" w:rsidRDefault="00030E63" w:rsidP="005F72D3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Za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početak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većina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ispitanih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gospodarskih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subjekata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složila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time da</w:t>
            </w:r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potrebna</w:t>
            </w:r>
            <w:proofErr w:type="spellEnd"/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prezentacija</w:t>
            </w:r>
            <w:proofErr w:type="spellEnd"/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lokaln</w:t>
            </w:r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og</w:t>
            </w:r>
            <w:proofErr w:type="spellEnd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poduzt</w:t>
            </w:r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ništva</w:t>
            </w:r>
            <w:proofErr w:type="spellEnd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Načelnik</w:t>
            </w:r>
            <w:proofErr w:type="spellEnd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složio</w:t>
            </w:r>
            <w:proofErr w:type="spellEnd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sa</w:t>
            </w:r>
            <w:proofErr w:type="spellEnd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time </w:t>
            </w:r>
            <w:proofErr w:type="spellStart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te</w:t>
            </w:r>
            <w:proofErr w:type="spellEnd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navodi</w:t>
            </w:r>
            <w:proofErr w:type="spellEnd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da je </w:t>
            </w:r>
            <w:proofErr w:type="spellStart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isto</w:t>
            </w:r>
            <w:proofErr w:type="spellEnd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moguće</w:t>
            </w:r>
            <w:proofErr w:type="spellEnd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kroz</w:t>
            </w:r>
            <w:proofErr w:type="spellEnd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list </w:t>
            </w:r>
            <w:proofErr w:type="spellStart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Naša</w:t>
            </w:r>
            <w:proofErr w:type="spellEnd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Kostrena (</w:t>
            </w:r>
            <w:proofErr w:type="spellStart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koji</w:t>
            </w:r>
            <w:proofErr w:type="spellEnd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izlazi</w:t>
            </w:r>
            <w:proofErr w:type="spellEnd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tromjesečno</w:t>
            </w:r>
            <w:proofErr w:type="spellEnd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ili</w:t>
            </w:r>
            <w:proofErr w:type="spellEnd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tiskanjem</w:t>
            </w:r>
            <w:proofErr w:type="spellEnd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brošure</w:t>
            </w:r>
            <w:proofErr w:type="spellEnd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lista</w:t>
            </w:r>
            <w:proofErr w:type="spellEnd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) u </w:t>
            </w:r>
            <w:proofErr w:type="spellStart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kojem</w:t>
            </w:r>
            <w:proofErr w:type="spellEnd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bi se </w:t>
            </w:r>
            <w:proofErr w:type="spellStart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navele</w:t>
            </w:r>
            <w:proofErr w:type="spellEnd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sve</w:t>
            </w:r>
            <w:proofErr w:type="spellEnd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usluge </w:t>
            </w:r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i</w:t>
            </w:r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proizvodi</w:t>
            </w:r>
            <w:proofErr w:type="spellEnd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lokalnih</w:t>
            </w:r>
            <w:proofErr w:type="spellEnd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poduzetnika</w:t>
            </w:r>
            <w:proofErr w:type="spellEnd"/>
            <w:r w:rsidR="00EA1AD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.</w:t>
            </w:r>
          </w:p>
          <w:p w:rsidR="00EA1AD9" w:rsidRDefault="00EA1AD9" w:rsidP="005F72D3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  <w:p w:rsidR="00337A41" w:rsidRDefault="00EA1AD9" w:rsidP="005F72D3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Nadalje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ispitani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gospodarski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subjekti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naveli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potrebu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da bi se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predstavnici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lokalne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samouprave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češće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sastaja</w:t>
            </w:r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ju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lokalnim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poduzetnicima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Nastavno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tome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Načelnik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navodi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kako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Općina Kostrena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upravo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>svibnju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kreće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oganizacijom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besplatnih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predavanja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ključnim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temama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uspješno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poslovanje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Prvi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ciklus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od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ukupno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šest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predavanja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obuhvatiti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će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teme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o EU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fondovima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za male </w:t>
            </w:r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i</w:t>
            </w:r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srednje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poduzetnike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osnovnim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preduvjetima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uspješno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poslovanjem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financijskom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upravljanju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osnovim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poreznim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znanjima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upravljanja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ljudskim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resursima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i</w:t>
            </w:r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osnovama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marketinškog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razmišljanja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.  Od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strane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Upravnog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odjela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financije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i</w:t>
            </w:r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gospodarstvo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Op</w:t>
            </w:r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ć</w:t>
            </w:r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ine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Kostrena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poštom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i</w:t>
            </w:r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e-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mailom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su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poslana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pozivna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pisma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i</w:t>
            </w:r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prijavni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obrasci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. U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slučaju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dobrog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odaziva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slične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radionice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i</w:t>
            </w:r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edukacije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planiraju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se </w:t>
            </w:r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i</w:t>
            </w:r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slijedećoj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godini</w:t>
            </w:r>
            <w:proofErr w:type="spellEnd"/>
            <w:r w:rsidR="00337A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.</w:t>
            </w:r>
          </w:p>
          <w:p w:rsidR="00337A41" w:rsidRDefault="00337A41" w:rsidP="005F72D3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  <w:p w:rsidR="00322587" w:rsidRDefault="00337A41" w:rsidP="00862E89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Predsjednik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Vranić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kazuje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kako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poduzetnici</w:t>
            </w:r>
            <w:proofErr w:type="spellEnd"/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izjasnili</w:t>
            </w:r>
            <w:proofErr w:type="spellEnd"/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kako</w:t>
            </w:r>
            <w:proofErr w:type="spellEnd"/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bi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lokalna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samoprava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trebala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bolje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prezentirati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mjere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poticanja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poduzetništva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ostale</w:t>
            </w:r>
            <w:proofErr w:type="spellEnd"/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potpore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pogodnosti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poduz</w:t>
            </w:r>
            <w:r w:rsidR="00CC1EA7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etnike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. Zekić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naglašava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kako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se Program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poticanja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poduzetništva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kao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i</w:t>
            </w:r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informacije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kontak</w:t>
            </w:r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t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osobi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pogodnostima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edukacijama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i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natječajima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poduzetnike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nalaz</w:t>
            </w:r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e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mrežnoj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tranici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Općine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Kostrena,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dijelu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koji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odnosi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gospodarstvo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Tako</w:t>
            </w:r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đer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nakon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usvajanja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Progama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informacije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istom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su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dane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kroz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razne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medijske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formate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Primorski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list,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facebook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stranica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) </w:t>
            </w:r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i</w:t>
            </w:r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objavljeme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listu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Naša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Kostrena.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Također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 u 2016.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godini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tiskan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Vodič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poduzenike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i</w:t>
            </w:r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investiture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Općine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Kostrena,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koji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uručen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svim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poduzetnicima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.  U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želji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da se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stvori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="00862E89" w:rsidRPr="00862E89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 xml:space="preserve">povoljno poslovno i ulagačko okruženje </w:t>
            </w:r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>Općina Kostrena u postupku je izrade d</w:t>
            </w:r>
            <w:r w:rsidR="00862E89" w:rsidRPr="00862E89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>opunjeno</w:t>
            </w:r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>g</w:t>
            </w:r>
            <w:r w:rsidR="00862E89" w:rsidRPr="00862E89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 xml:space="preserve"> i ažurirano</w:t>
            </w:r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>g</w:t>
            </w:r>
            <w:r w:rsidR="00862E89" w:rsidRPr="00862E89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 xml:space="preserve"> izdanj</w:t>
            </w:r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>a</w:t>
            </w:r>
            <w:r w:rsidR="00862E89" w:rsidRPr="00862E89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 xml:space="preserve"> Vodiča</w:t>
            </w:r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 xml:space="preserve">. </w:t>
            </w:r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 xml:space="preserve"> </w:t>
            </w:r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 xml:space="preserve">U raspravu se uključila Mirna Dujmović koja govori kako </w:t>
            </w:r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 xml:space="preserve">Kostrena </w:t>
            </w:r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>ula</w:t>
            </w:r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>ž</w:t>
            </w:r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 xml:space="preserve">e trud u informiranje poduzetnika, te smatra hvale </w:t>
            </w:r>
            <w:proofErr w:type="spellStart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>vrijenim</w:t>
            </w:r>
            <w:proofErr w:type="spellEnd"/>
            <w:r w:rsidR="00862E89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 xml:space="preserve"> time što je od strane lokalne samouprave </w:t>
            </w:r>
            <w:r w:rsidR="00322587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>imenovana osoba koja poduzetnicima stoji na raspolaganju.</w:t>
            </w:r>
          </w:p>
          <w:p w:rsidR="00322587" w:rsidRDefault="00322587" w:rsidP="00862E89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</w:pPr>
          </w:p>
          <w:p w:rsidR="00322587" w:rsidRDefault="00322587" w:rsidP="00862E89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>Zaključno, kako bi se poduzetnima prezentirale općinske subvencije iste će biti jedna od tema na gore navedenim besplatnim predavanjima za poduz</w:t>
            </w:r>
            <w:r w:rsidR="00CC1EA7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>e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 xml:space="preserve">tnike. </w:t>
            </w:r>
            <w:r w:rsidR="00942C2E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>Jedno od pitanja koje se javilo jest i subvencij</w:t>
            </w:r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>e</w:t>
            </w:r>
            <w:r w:rsidR="00942C2E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 xml:space="preserve"> kamata na poduz</w:t>
            </w:r>
            <w:r w:rsidR="00587D62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>etničke</w:t>
            </w:r>
            <w:r w:rsidR="00942C2E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 xml:space="preserve"> kredite. Načelnik kazuje kako Općina ima sklopljen Ugovor sa Privrednom Bankom Zagreb od 2015. godine, a  kako bi se olakšalo samim </w:t>
            </w:r>
            <w:proofErr w:type="spellStart"/>
            <w:r w:rsidR="00942C2E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>poduztenicima</w:t>
            </w:r>
            <w:proofErr w:type="spellEnd"/>
            <w:r w:rsidR="00942C2E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 xml:space="preserve"> u planu je sklapanje Ugovora sa još banaka. Navede</w:t>
            </w:r>
            <w:r w:rsidR="001600E7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>n</w:t>
            </w:r>
            <w:r w:rsidR="00942C2E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 xml:space="preserve">o subvencioniranje kamata nije vezano uz sredstva za EU fondove kako bi se izbjeglo dvostruko financiranje. </w:t>
            </w:r>
          </w:p>
          <w:p w:rsidR="00322587" w:rsidRDefault="00322587" w:rsidP="00862E89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</w:pPr>
          </w:p>
          <w:p w:rsidR="00322587" w:rsidRDefault="00942C2E" w:rsidP="00862E89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>Predsjednik navodi problematiku manjka prostora u svrhu širenja djelatnosti</w:t>
            </w:r>
            <w:r w:rsidR="001600E7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 xml:space="preserve"> gospodarskih subje</w:t>
            </w:r>
            <w:r w:rsidR="00AD5E44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>kata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 xml:space="preserve">. Načelnik se referirao na potencijal radne zone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>Šoiči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>Ivanji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 xml:space="preserve"> te točkastih izm</w:t>
            </w:r>
            <w:r w:rsidR="001600E7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>j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 xml:space="preserve">ena </w:t>
            </w:r>
            <w:r w:rsidR="00AD5E44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>P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 xml:space="preserve">rostornog plana. </w:t>
            </w:r>
          </w:p>
          <w:p w:rsidR="00942C2E" w:rsidRDefault="00942C2E" w:rsidP="00862E89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</w:pPr>
          </w:p>
          <w:p w:rsidR="00862E89" w:rsidRDefault="00942C2E" w:rsidP="005F72D3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>U sklopu točke razno pris</w:t>
            </w:r>
            <w:r w:rsidR="00CC1EA7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>utni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 xml:space="preserve"> su se dotaknuti teme važnosti ulaganja županije u razvoj zračne luke Rijeka. Šmitran naglašava potrebu </w:t>
            </w:r>
            <w:proofErr w:type="spellStart"/>
            <w:r w:rsidRPr="00942C2E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plutajuća</w:t>
            </w:r>
            <w:proofErr w:type="spellEnd"/>
            <w:r w:rsidRPr="00942C2E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2C2E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benzinska</w:t>
            </w:r>
            <w:proofErr w:type="spellEnd"/>
            <w:r w:rsidRPr="00942C2E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2C2E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crpka</w:t>
            </w:r>
            <w:proofErr w:type="spellEnd"/>
            <w:r w:rsidRPr="00942C2E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942C2E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plovila</w:t>
            </w:r>
            <w:proofErr w:type="spellEnd"/>
            <w:r w:rsidRPr="00942C2E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</w:p>
          <w:p w:rsidR="00862E89" w:rsidRDefault="00862E89" w:rsidP="005F72D3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  <w:p w:rsidR="00784293" w:rsidRPr="00DF6FC1" w:rsidRDefault="00B44978" w:rsidP="00085640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proofErr w:type="spellStart"/>
            <w:r w:rsidRPr="00DF6FC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Sastanak</w:t>
            </w:r>
            <w:proofErr w:type="spellEnd"/>
            <w:r w:rsidRPr="00DF6FC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DF6FC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završio</w:t>
            </w:r>
            <w:proofErr w:type="spellEnd"/>
            <w:r w:rsidRPr="00DF6FC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u 1</w:t>
            </w:r>
            <w:r w:rsidR="00942C2E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5:30</w:t>
            </w:r>
            <w:r w:rsidR="00CC4C7D" w:rsidRPr="00DF6FC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sati.</w:t>
            </w:r>
          </w:p>
        </w:tc>
      </w:tr>
      <w:tr w:rsidR="00AA52B1" w:rsidRPr="00DF6FC1" w:rsidTr="00C77BD3">
        <w:trPr>
          <w:gridBefore w:val="1"/>
          <w:wBefore w:w="15" w:type="dxa"/>
        </w:trPr>
        <w:tc>
          <w:tcPr>
            <w:tcW w:w="9483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A52B1" w:rsidRPr="00DF6FC1" w:rsidRDefault="00AA52B1">
            <w:p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</w:pPr>
          </w:p>
          <w:p w:rsidR="00AA52B1" w:rsidRPr="00DF6FC1" w:rsidRDefault="00AA52B1">
            <w:p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</w:pPr>
            <w:r w:rsidRPr="00DF6FC1"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Ad  2. Plan aktivnosti za naredni period</w:t>
            </w:r>
          </w:p>
        </w:tc>
      </w:tr>
      <w:tr w:rsidR="00AA52B1" w:rsidRPr="00DF6FC1" w:rsidTr="00C77BD3">
        <w:trPr>
          <w:gridBefore w:val="1"/>
          <w:wBefore w:w="15" w:type="dxa"/>
          <w:trHeight w:val="786"/>
        </w:trPr>
        <w:tc>
          <w:tcPr>
            <w:tcW w:w="948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5671" w:rsidRPr="00DF6FC1" w:rsidRDefault="00575671" w:rsidP="007F5BF7">
            <w:pPr>
              <w:pStyle w:val="Bezproreda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F6FC1">
              <w:rPr>
                <w:rFonts w:ascii="Times New Roman" w:eastAsia="Times New Roman" w:hAnsi="Times New Roman"/>
                <w:color w:val="000000"/>
              </w:rPr>
              <w:t>Sukladno dogovoru:</w:t>
            </w:r>
          </w:p>
          <w:p w:rsidR="00CC4C7D" w:rsidRPr="00DF6FC1" w:rsidRDefault="00CC4C7D" w:rsidP="00CC4C7D">
            <w:pPr>
              <w:pStyle w:val="Bezprored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F6FC1">
              <w:rPr>
                <w:rFonts w:ascii="Times New Roman" w:eastAsia="Times New Roman" w:hAnsi="Times New Roman"/>
                <w:color w:val="000000"/>
                <w:lang w:val="en-GB"/>
              </w:rPr>
              <w:t xml:space="preserve">Do </w:t>
            </w:r>
            <w:proofErr w:type="spellStart"/>
            <w:r w:rsidRPr="00DF6FC1">
              <w:rPr>
                <w:rFonts w:ascii="Times New Roman" w:eastAsia="Times New Roman" w:hAnsi="Times New Roman"/>
                <w:color w:val="000000"/>
                <w:lang w:val="en-GB"/>
              </w:rPr>
              <w:t>slijedećeg</w:t>
            </w:r>
            <w:proofErr w:type="spellEnd"/>
            <w:r w:rsidRPr="00DF6FC1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DF6FC1">
              <w:rPr>
                <w:rFonts w:ascii="Times New Roman" w:eastAsia="Times New Roman" w:hAnsi="Times New Roman"/>
                <w:color w:val="000000"/>
                <w:lang w:val="en-GB"/>
              </w:rPr>
              <w:t>sastanka</w:t>
            </w:r>
            <w:proofErr w:type="spellEnd"/>
            <w:r w:rsidRPr="00DF6FC1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DF6FC1">
              <w:rPr>
                <w:rFonts w:ascii="Times New Roman" w:eastAsia="Times New Roman" w:hAnsi="Times New Roman"/>
                <w:color w:val="000000"/>
                <w:lang w:val="en-GB"/>
              </w:rPr>
              <w:t>biti</w:t>
            </w:r>
            <w:proofErr w:type="spellEnd"/>
            <w:r w:rsidRPr="00DF6FC1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DF6FC1">
              <w:rPr>
                <w:rFonts w:ascii="Times New Roman" w:eastAsia="Times New Roman" w:hAnsi="Times New Roman"/>
                <w:color w:val="000000"/>
                <w:lang w:val="en-GB"/>
              </w:rPr>
              <w:t>će</w:t>
            </w:r>
            <w:proofErr w:type="spellEnd"/>
            <w:r w:rsidRPr="00DF6FC1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DF6FC1">
              <w:rPr>
                <w:rFonts w:ascii="Times New Roman" w:eastAsia="Times New Roman" w:hAnsi="Times New Roman"/>
                <w:color w:val="000000"/>
                <w:lang w:val="en-GB"/>
              </w:rPr>
              <w:t>izabrane</w:t>
            </w:r>
            <w:proofErr w:type="spellEnd"/>
            <w:r w:rsidRPr="00DF6FC1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="00DF6FC1">
              <w:rPr>
                <w:rFonts w:ascii="Times New Roman" w:eastAsia="Times New Roman" w:hAnsi="Times New Roman"/>
                <w:color w:val="000000"/>
                <w:lang w:val="en-GB"/>
              </w:rPr>
              <w:t>aktualne</w:t>
            </w:r>
            <w:proofErr w:type="spellEnd"/>
            <w:r w:rsidR="00DF6FC1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="00DF6FC1">
              <w:rPr>
                <w:rFonts w:ascii="Times New Roman" w:eastAsia="Times New Roman" w:hAnsi="Times New Roman"/>
                <w:color w:val="000000"/>
                <w:lang w:val="en-GB"/>
              </w:rPr>
              <w:t>teme</w:t>
            </w:r>
            <w:proofErr w:type="spellEnd"/>
            <w:r w:rsidR="00DF6FC1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o </w:t>
            </w:r>
            <w:proofErr w:type="spellStart"/>
            <w:r w:rsidR="00DF6FC1">
              <w:rPr>
                <w:rFonts w:ascii="Times New Roman" w:eastAsia="Times New Roman" w:hAnsi="Times New Roman"/>
                <w:color w:val="000000"/>
                <w:lang w:val="en-GB"/>
              </w:rPr>
              <w:t>kojima</w:t>
            </w:r>
            <w:proofErr w:type="spellEnd"/>
            <w:r w:rsidR="00DF6FC1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="00DF6FC1">
              <w:rPr>
                <w:rFonts w:ascii="Times New Roman" w:eastAsia="Times New Roman" w:hAnsi="Times New Roman"/>
                <w:color w:val="000000"/>
                <w:lang w:val="en-GB"/>
              </w:rPr>
              <w:t>će</w:t>
            </w:r>
            <w:proofErr w:type="spellEnd"/>
            <w:r w:rsidR="00DF6FC1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se </w:t>
            </w:r>
            <w:proofErr w:type="spellStart"/>
            <w:r w:rsidR="00DF6FC1">
              <w:rPr>
                <w:rFonts w:ascii="Times New Roman" w:eastAsia="Times New Roman" w:hAnsi="Times New Roman"/>
                <w:color w:val="000000"/>
                <w:lang w:val="en-GB"/>
              </w:rPr>
              <w:t>ras</w:t>
            </w:r>
            <w:r w:rsidRPr="00DF6FC1">
              <w:rPr>
                <w:rFonts w:ascii="Times New Roman" w:eastAsia="Times New Roman" w:hAnsi="Times New Roman"/>
                <w:color w:val="000000"/>
                <w:lang w:val="en-GB"/>
              </w:rPr>
              <w:t>pravljati</w:t>
            </w:r>
            <w:proofErr w:type="spellEnd"/>
          </w:p>
        </w:tc>
      </w:tr>
      <w:tr w:rsidR="00AA52B1" w:rsidRPr="00DF6FC1" w:rsidTr="00C77BD3">
        <w:trPr>
          <w:gridBefore w:val="1"/>
          <w:wBefore w:w="15" w:type="dxa"/>
          <w:trHeight w:val="567"/>
        </w:trPr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A52B1" w:rsidRPr="00DF6FC1" w:rsidRDefault="00AA52B1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DF6F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Zapisnik</w:t>
            </w:r>
            <w:proofErr w:type="spellEnd"/>
            <w:r w:rsidRPr="00DF6F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6F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vodila</w:t>
            </w:r>
            <w:proofErr w:type="spellEnd"/>
            <w:r w:rsidRPr="00DF6F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369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52B1" w:rsidRPr="00DF6FC1" w:rsidRDefault="00DC7D2A">
            <w:pPr>
              <w:spacing w:line="276" w:lineRule="auto"/>
              <w:ind w:right="-269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DF6FC1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Martina Zekić</w:t>
            </w:r>
          </w:p>
        </w:tc>
      </w:tr>
    </w:tbl>
    <w:p w:rsidR="00DC7D2A" w:rsidRPr="00DF6FC1" w:rsidRDefault="00C35B78" w:rsidP="007F5BF7">
      <w:pPr>
        <w:rPr>
          <w:rFonts w:ascii="Times New Roman" w:hAnsi="Times New Roman"/>
          <w:b/>
          <w:sz w:val="22"/>
          <w:szCs w:val="22"/>
        </w:rPr>
      </w:pPr>
      <w:r w:rsidRPr="00DF6FC1">
        <w:rPr>
          <w:rFonts w:ascii="Times New Roman" w:hAnsi="Times New Roman"/>
          <w:b/>
          <w:sz w:val="22"/>
          <w:szCs w:val="22"/>
        </w:rPr>
        <w:t>KLASA: 303-01/14-01/11</w:t>
      </w:r>
    </w:p>
    <w:p w:rsidR="00C35B78" w:rsidRPr="00DF6FC1" w:rsidRDefault="00C35B78" w:rsidP="007F5BF7">
      <w:pPr>
        <w:rPr>
          <w:rFonts w:ascii="Times New Roman" w:hAnsi="Times New Roman"/>
          <w:sz w:val="22"/>
          <w:szCs w:val="22"/>
        </w:rPr>
      </w:pPr>
      <w:r w:rsidRPr="00DF6FC1">
        <w:rPr>
          <w:rFonts w:ascii="Times New Roman" w:hAnsi="Times New Roman"/>
          <w:b/>
          <w:sz w:val="22"/>
          <w:szCs w:val="22"/>
        </w:rPr>
        <w:t>URBR: 2170-07-0</w:t>
      </w:r>
      <w:r w:rsidR="00D914FC">
        <w:rPr>
          <w:rFonts w:ascii="Times New Roman" w:hAnsi="Times New Roman"/>
          <w:b/>
          <w:sz w:val="22"/>
          <w:szCs w:val="22"/>
        </w:rPr>
        <w:t>6-8</w:t>
      </w:r>
      <w:r w:rsidR="00E94CFC">
        <w:rPr>
          <w:rFonts w:ascii="Times New Roman" w:hAnsi="Times New Roman"/>
          <w:b/>
          <w:sz w:val="22"/>
          <w:szCs w:val="22"/>
        </w:rPr>
        <w:t>2</w:t>
      </w:r>
    </w:p>
    <w:sectPr w:rsidR="00C35B78" w:rsidRPr="00DF6FC1" w:rsidSect="00F9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6F2"/>
    <w:multiLevelType w:val="hybridMultilevel"/>
    <w:tmpl w:val="8F9240C8"/>
    <w:lvl w:ilvl="0" w:tplc="BCE8B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CA6158"/>
    <w:multiLevelType w:val="hybridMultilevel"/>
    <w:tmpl w:val="DAB016FE"/>
    <w:lvl w:ilvl="0" w:tplc="27E6238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33C47"/>
    <w:multiLevelType w:val="hybridMultilevel"/>
    <w:tmpl w:val="80A0D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77E65"/>
    <w:multiLevelType w:val="hybridMultilevel"/>
    <w:tmpl w:val="78586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7031A"/>
    <w:multiLevelType w:val="hybridMultilevel"/>
    <w:tmpl w:val="8BDE240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305AA"/>
    <w:multiLevelType w:val="hybridMultilevel"/>
    <w:tmpl w:val="97EA89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C65EE"/>
    <w:multiLevelType w:val="hybridMultilevel"/>
    <w:tmpl w:val="D682F94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F2E8D"/>
    <w:multiLevelType w:val="hybridMultilevel"/>
    <w:tmpl w:val="5038C3FC"/>
    <w:lvl w:ilvl="0" w:tplc="4C1AD38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557068"/>
    <w:multiLevelType w:val="hybridMultilevel"/>
    <w:tmpl w:val="97EA89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AD74BD"/>
    <w:multiLevelType w:val="hybridMultilevel"/>
    <w:tmpl w:val="DAB016FE"/>
    <w:lvl w:ilvl="0" w:tplc="27E6238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5A31E6"/>
    <w:multiLevelType w:val="hybridMultilevel"/>
    <w:tmpl w:val="CDD63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50953"/>
    <w:multiLevelType w:val="hybridMultilevel"/>
    <w:tmpl w:val="3FE22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1649C"/>
    <w:multiLevelType w:val="hybridMultilevel"/>
    <w:tmpl w:val="345E7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2"/>
  </w:num>
  <w:num w:numId="10">
    <w:abstractNumId w:val="12"/>
  </w:num>
  <w:num w:numId="11">
    <w:abstractNumId w:val="3"/>
  </w:num>
  <w:num w:numId="12">
    <w:abstractNumId w:val="4"/>
  </w:num>
  <w:num w:numId="13">
    <w:abstractNumId w:val="6"/>
  </w:num>
  <w:num w:numId="14">
    <w:abstractNumId w:val="1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B1"/>
    <w:rsid w:val="00030E63"/>
    <w:rsid w:val="00034251"/>
    <w:rsid w:val="00085640"/>
    <w:rsid w:val="00086D78"/>
    <w:rsid w:val="000E659D"/>
    <w:rsid w:val="001411F1"/>
    <w:rsid w:val="001600E7"/>
    <w:rsid w:val="0019111F"/>
    <w:rsid w:val="0023022D"/>
    <w:rsid w:val="002D55AD"/>
    <w:rsid w:val="003062D5"/>
    <w:rsid w:val="00322587"/>
    <w:rsid w:val="00337A41"/>
    <w:rsid w:val="003E3A93"/>
    <w:rsid w:val="00425869"/>
    <w:rsid w:val="004303C3"/>
    <w:rsid w:val="004E19FD"/>
    <w:rsid w:val="004E6339"/>
    <w:rsid w:val="00555BBB"/>
    <w:rsid w:val="00575671"/>
    <w:rsid w:val="00587D62"/>
    <w:rsid w:val="005F72D3"/>
    <w:rsid w:val="00656153"/>
    <w:rsid w:val="00737477"/>
    <w:rsid w:val="00784293"/>
    <w:rsid w:val="007B53AE"/>
    <w:rsid w:val="007F5BF7"/>
    <w:rsid w:val="00842172"/>
    <w:rsid w:val="00862E89"/>
    <w:rsid w:val="00891084"/>
    <w:rsid w:val="008C3FFB"/>
    <w:rsid w:val="008E767B"/>
    <w:rsid w:val="0092065A"/>
    <w:rsid w:val="00921052"/>
    <w:rsid w:val="00942C2E"/>
    <w:rsid w:val="00A418CC"/>
    <w:rsid w:val="00A50DF4"/>
    <w:rsid w:val="00A62BC7"/>
    <w:rsid w:val="00AA52B1"/>
    <w:rsid w:val="00AC4430"/>
    <w:rsid w:val="00AD5E44"/>
    <w:rsid w:val="00B44978"/>
    <w:rsid w:val="00BA5F56"/>
    <w:rsid w:val="00C35B78"/>
    <w:rsid w:val="00C77BD3"/>
    <w:rsid w:val="00CC1EA7"/>
    <w:rsid w:val="00CC4C7D"/>
    <w:rsid w:val="00D11E80"/>
    <w:rsid w:val="00D4253A"/>
    <w:rsid w:val="00D52B90"/>
    <w:rsid w:val="00D914FC"/>
    <w:rsid w:val="00D96052"/>
    <w:rsid w:val="00DC47D4"/>
    <w:rsid w:val="00DC7D2A"/>
    <w:rsid w:val="00DF6FC1"/>
    <w:rsid w:val="00E14C14"/>
    <w:rsid w:val="00E27D43"/>
    <w:rsid w:val="00E604B6"/>
    <w:rsid w:val="00E63A3C"/>
    <w:rsid w:val="00E7137A"/>
    <w:rsid w:val="00E94CFC"/>
    <w:rsid w:val="00E9537F"/>
    <w:rsid w:val="00EA1AD9"/>
    <w:rsid w:val="00EB7E40"/>
    <w:rsid w:val="00ED0983"/>
    <w:rsid w:val="00F9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6143"/>
  <w15:docId w15:val="{B8CA2286-25CB-4B93-80B3-7ED6A48D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2B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52B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8429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411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4C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C7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A9A1-DA31-46FB-8B7E-7330AA09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Martina Zekić</cp:lastModifiedBy>
  <cp:revision>5</cp:revision>
  <cp:lastPrinted>2019-05-10T12:45:00Z</cp:lastPrinted>
  <dcterms:created xsi:type="dcterms:W3CDTF">2019-05-10T12:43:00Z</dcterms:created>
  <dcterms:modified xsi:type="dcterms:W3CDTF">2019-12-17T07:52:00Z</dcterms:modified>
</cp:coreProperties>
</file>