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1C84" w14:textId="77777777" w:rsidR="00B8785F" w:rsidRDefault="00B8785F" w:rsidP="00B8785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REPUBLIKA  HRVATSKA</w:t>
      </w:r>
    </w:p>
    <w:p w14:paraId="5E5BC3E6" w14:textId="77777777" w:rsidR="00B8785F" w:rsidRDefault="00B8785F" w:rsidP="00B8785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PRIMORSKO-GORANSKA ŽUPANIJA</w:t>
      </w:r>
    </w:p>
    <w:p w14:paraId="0177477E" w14:textId="77777777" w:rsidR="00B8785F" w:rsidRDefault="00B8785F" w:rsidP="00B8785F">
      <w:pPr>
        <w:keepNext/>
        <w:framePr w:dropCap="drop" w:lines="3" w:wrap="around" w:vAnchor="text" w:hAnchor="text"/>
        <w:rPr>
          <w:b/>
          <w:position w:val="-11"/>
          <w:sz w:val="22"/>
          <w:szCs w:val="22"/>
        </w:rPr>
      </w:pPr>
      <w:r>
        <w:rPr>
          <w:b/>
          <w:noProof/>
          <w:position w:val="-11"/>
          <w:sz w:val="22"/>
          <w:szCs w:val="22"/>
        </w:rPr>
        <w:drawing>
          <wp:inline distT="0" distB="0" distL="0" distR="0" wp14:anchorId="1B273DD8" wp14:editId="4B7C395F">
            <wp:extent cx="495300" cy="53414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8" cy="5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3E7">
        <w:rPr>
          <w:b/>
          <w:position w:val="-11"/>
          <w:sz w:val="22"/>
          <w:szCs w:val="22"/>
        </w:rPr>
        <w:t xml:space="preserve"> </w:t>
      </w:r>
      <w:r>
        <w:rPr>
          <w:b/>
          <w:position w:val="-11"/>
          <w:sz w:val="22"/>
          <w:szCs w:val="22"/>
        </w:rPr>
        <w:t xml:space="preserve">      </w:t>
      </w:r>
    </w:p>
    <w:p w14:paraId="57FE66B1" w14:textId="77777777" w:rsidR="00B8785F" w:rsidRDefault="00B8785F" w:rsidP="00B8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55B67DCD" w14:textId="77777777" w:rsidR="00B8785F" w:rsidRDefault="00B8785F" w:rsidP="00B8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813E7">
        <w:rPr>
          <w:b/>
          <w:sz w:val="22"/>
          <w:szCs w:val="22"/>
        </w:rPr>
        <w:t xml:space="preserve">   </w:t>
      </w:r>
      <w:r>
        <w:rPr>
          <w:b/>
          <w:i/>
          <w:color w:val="000000"/>
          <w:sz w:val="22"/>
          <w:szCs w:val="22"/>
        </w:rPr>
        <w:t>OPĆINA KOSTRENA</w:t>
      </w:r>
    </w:p>
    <w:p w14:paraId="19D845F5" w14:textId="45B04AA6" w:rsidR="00B8785F" w:rsidRDefault="00B935AC" w:rsidP="004B38D0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B8785F">
        <w:rPr>
          <w:b/>
          <w:sz w:val="22"/>
          <w:szCs w:val="22"/>
        </w:rPr>
        <w:t xml:space="preserve">             </w:t>
      </w:r>
    </w:p>
    <w:p w14:paraId="2E7D7F63" w14:textId="11B17057" w:rsidR="004B38D0" w:rsidRPr="000B5C15" w:rsidRDefault="004B38D0" w:rsidP="004B38D0">
      <w:pPr>
        <w:ind w:firstLine="720"/>
        <w:jc w:val="both"/>
        <w:rPr>
          <w:szCs w:val="22"/>
        </w:rPr>
      </w:pPr>
      <w:r w:rsidRPr="000B5C15">
        <w:rPr>
          <w:szCs w:val="22"/>
        </w:rPr>
        <w:t xml:space="preserve">Na temelju </w:t>
      </w:r>
      <w:r w:rsidRPr="000B5C15">
        <w:rPr>
          <w:color w:val="000000"/>
          <w:szCs w:val="22"/>
        </w:rPr>
        <w:t xml:space="preserve">članka 20. stavak 6. </w:t>
      </w:r>
      <w:r w:rsidRPr="000B5C15">
        <w:rPr>
          <w:color w:val="333333"/>
          <w:szCs w:val="22"/>
        </w:rPr>
        <w:t>Zakona o knjižnicama i knjižničnoj djelatnosti</w:t>
      </w:r>
      <w:r w:rsidRPr="000B5C15">
        <w:rPr>
          <w:b/>
          <w:bCs/>
          <w:i/>
          <w:iCs/>
          <w:color w:val="333333"/>
          <w:szCs w:val="22"/>
        </w:rPr>
        <w:t xml:space="preserve"> </w:t>
      </w:r>
      <w:r w:rsidRPr="000B5C15">
        <w:rPr>
          <w:color w:val="333333"/>
          <w:szCs w:val="22"/>
        </w:rPr>
        <w:t>("Narodne novine" broj 17/19 i 89/19) i</w:t>
      </w:r>
      <w:r w:rsidRPr="000B5C15">
        <w:rPr>
          <w:szCs w:val="22"/>
        </w:rPr>
        <w:t xml:space="preserve"> članka 34. Statuta Općine Kostrena (˝Službene novine Općine Kostrena˝ broj 2/18, 11/18, 1/20), a u svezi članka 15. stavak 2. Statuta Javne ustanove Narodna knjižnica Kostrena, te Zaključka KLASA: </w:t>
      </w:r>
      <w:r>
        <w:rPr>
          <w:szCs w:val="22"/>
        </w:rPr>
        <w:t>021-05/20-01/03</w:t>
      </w:r>
      <w:r w:rsidRPr="000B5C15">
        <w:rPr>
          <w:szCs w:val="22"/>
        </w:rPr>
        <w:t xml:space="preserve">, URBROJ: </w:t>
      </w:r>
      <w:r>
        <w:rPr>
          <w:szCs w:val="22"/>
        </w:rPr>
        <w:t>2170-07-01-20-56</w:t>
      </w:r>
      <w:r w:rsidRPr="000B5C15">
        <w:rPr>
          <w:szCs w:val="22"/>
        </w:rPr>
        <w:t xml:space="preserve"> od</w:t>
      </w:r>
      <w:r>
        <w:rPr>
          <w:szCs w:val="22"/>
        </w:rPr>
        <w:t xml:space="preserve"> 20. listopada</w:t>
      </w:r>
      <w:r w:rsidRPr="000B5C15">
        <w:rPr>
          <w:szCs w:val="22"/>
        </w:rPr>
        <w:t xml:space="preserve"> 2020. godine, Općinsko vijeće Općine Kostrena  raspisuje</w:t>
      </w:r>
    </w:p>
    <w:p w14:paraId="1F8CCE3C" w14:textId="77777777" w:rsidR="004B38D0" w:rsidRPr="000B5C15" w:rsidRDefault="004B38D0" w:rsidP="004B38D0">
      <w:pPr>
        <w:jc w:val="both"/>
        <w:rPr>
          <w:szCs w:val="22"/>
        </w:rPr>
      </w:pPr>
    </w:p>
    <w:p w14:paraId="77D0A265" w14:textId="77777777" w:rsidR="004B38D0" w:rsidRPr="000B5C15" w:rsidRDefault="004B38D0" w:rsidP="004B38D0">
      <w:pPr>
        <w:tabs>
          <w:tab w:val="left" w:pos="3240"/>
        </w:tabs>
        <w:jc w:val="center"/>
        <w:rPr>
          <w:b/>
          <w:szCs w:val="22"/>
        </w:rPr>
      </w:pPr>
      <w:r w:rsidRPr="000B5C15">
        <w:rPr>
          <w:b/>
          <w:szCs w:val="22"/>
        </w:rPr>
        <w:t>JAVNI NATJEČAJ</w:t>
      </w:r>
    </w:p>
    <w:p w14:paraId="19F2EB4A" w14:textId="77777777" w:rsidR="004B38D0" w:rsidRPr="000B5C15" w:rsidRDefault="004B38D0" w:rsidP="004B38D0">
      <w:pPr>
        <w:tabs>
          <w:tab w:val="left" w:pos="2655"/>
        </w:tabs>
        <w:jc w:val="center"/>
        <w:rPr>
          <w:b/>
          <w:i/>
          <w:szCs w:val="22"/>
        </w:rPr>
      </w:pPr>
      <w:r w:rsidRPr="000B5C15">
        <w:rPr>
          <w:b/>
          <w:i/>
          <w:szCs w:val="22"/>
        </w:rPr>
        <w:t xml:space="preserve">za imenovanje ravnatelja/ravnateljice </w:t>
      </w:r>
    </w:p>
    <w:p w14:paraId="17392D42" w14:textId="77777777" w:rsidR="004B38D0" w:rsidRPr="000B5C15" w:rsidRDefault="004B38D0" w:rsidP="004B38D0">
      <w:pPr>
        <w:tabs>
          <w:tab w:val="left" w:pos="2655"/>
        </w:tabs>
        <w:jc w:val="center"/>
        <w:rPr>
          <w:b/>
          <w:i/>
          <w:szCs w:val="22"/>
        </w:rPr>
      </w:pPr>
      <w:r w:rsidRPr="000B5C15">
        <w:rPr>
          <w:b/>
          <w:i/>
          <w:szCs w:val="22"/>
        </w:rPr>
        <w:t>Javne ustanove Narodna knjižnica Kostrena</w:t>
      </w:r>
    </w:p>
    <w:p w14:paraId="0789F95F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</w:p>
    <w:p w14:paraId="5330746C" w14:textId="77777777" w:rsidR="004B38D0" w:rsidRPr="000B5C15" w:rsidRDefault="004B38D0" w:rsidP="004B38D0">
      <w:pPr>
        <w:tabs>
          <w:tab w:val="left" w:pos="1740"/>
        </w:tabs>
        <w:jc w:val="both"/>
        <w:rPr>
          <w:b/>
          <w:szCs w:val="22"/>
        </w:rPr>
      </w:pPr>
      <w:r w:rsidRPr="000B5C15">
        <w:rPr>
          <w:b/>
          <w:szCs w:val="22"/>
        </w:rPr>
        <w:t>Uvjeti:</w:t>
      </w:r>
    </w:p>
    <w:p w14:paraId="04EF34F2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  <w:r w:rsidRPr="000B5C15">
        <w:rPr>
          <w:szCs w:val="22"/>
        </w:rPr>
        <w:t>Ravnateljem/ravnateljicom može biti imenovana osoba koja:</w:t>
      </w:r>
    </w:p>
    <w:p w14:paraId="67CED5FE" w14:textId="77777777" w:rsidR="004B38D0" w:rsidRPr="000B5C15" w:rsidRDefault="004B38D0" w:rsidP="004B38D0">
      <w:pPr>
        <w:shd w:val="clear" w:color="auto" w:fill="FFFFFF"/>
        <w:jc w:val="both"/>
        <w:rPr>
          <w:bCs/>
          <w:szCs w:val="22"/>
        </w:rPr>
      </w:pPr>
      <w:r w:rsidRPr="000B5C15">
        <w:rPr>
          <w:bCs/>
          <w:szCs w:val="22"/>
        </w:rPr>
        <w:t xml:space="preserve">– </w:t>
      </w:r>
      <w:r w:rsidRPr="000B5C15">
        <w:rPr>
          <w:szCs w:val="22"/>
        </w:rPr>
        <w:t>ima</w:t>
      </w:r>
      <w:r w:rsidRPr="000B5C15">
        <w:rPr>
          <w:bCs/>
          <w:szCs w:val="22"/>
        </w:rPr>
        <w:t xml:space="preserve"> završen diplomski sveučilišni studij ili integrirani preddiplomski i diplomski sveučilišni studij ili specijalistički diplomski stručni studij ili s njim izjednačen studij,</w:t>
      </w:r>
    </w:p>
    <w:p w14:paraId="04F46651" w14:textId="77777777" w:rsidR="004B38D0" w:rsidRPr="000B5C15" w:rsidRDefault="004B38D0" w:rsidP="004B38D0">
      <w:pPr>
        <w:shd w:val="clear" w:color="auto" w:fill="FFFFFF"/>
        <w:jc w:val="both"/>
        <w:rPr>
          <w:bCs/>
          <w:szCs w:val="22"/>
        </w:rPr>
      </w:pPr>
      <w:r w:rsidRPr="000B5C15">
        <w:rPr>
          <w:bCs/>
          <w:szCs w:val="22"/>
        </w:rPr>
        <w:t xml:space="preserve">– </w:t>
      </w:r>
      <w:r w:rsidRPr="000B5C15">
        <w:rPr>
          <w:szCs w:val="22"/>
        </w:rPr>
        <w:t>ima</w:t>
      </w:r>
      <w:r w:rsidRPr="000B5C15">
        <w:rPr>
          <w:bCs/>
          <w:szCs w:val="22"/>
        </w:rPr>
        <w:t xml:space="preserve"> položen stručni knjižničarski ispit,</w:t>
      </w:r>
    </w:p>
    <w:p w14:paraId="2F05DA43" w14:textId="77777777" w:rsidR="004B38D0" w:rsidRPr="000B5C15" w:rsidRDefault="004B38D0" w:rsidP="004B38D0">
      <w:pPr>
        <w:shd w:val="clear" w:color="auto" w:fill="FFFFFF"/>
        <w:jc w:val="both"/>
        <w:rPr>
          <w:bCs/>
          <w:szCs w:val="22"/>
        </w:rPr>
      </w:pPr>
      <w:r w:rsidRPr="000B5C15">
        <w:rPr>
          <w:bCs/>
          <w:szCs w:val="22"/>
        </w:rPr>
        <w:t>–</w:t>
      </w:r>
      <w:r w:rsidRPr="000B5C15">
        <w:rPr>
          <w:szCs w:val="22"/>
        </w:rPr>
        <w:t xml:space="preserve"> ima</w:t>
      </w:r>
      <w:r w:rsidRPr="000B5C15">
        <w:rPr>
          <w:bCs/>
          <w:szCs w:val="22"/>
        </w:rPr>
        <w:t xml:space="preserve"> najmanje pet godina rada u knjižnici,</w:t>
      </w:r>
    </w:p>
    <w:p w14:paraId="0E9315F5" w14:textId="77777777" w:rsidR="004B38D0" w:rsidRPr="000B5C15" w:rsidRDefault="004B38D0" w:rsidP="004B38D0">
      <w:pPr>
        <w:shd w:val="clear" w:color="auto" w:fill="FFFFFF"/>
        <w:jc w:val="both"/>
        <w:rPr>
          <w:bCs/>
          <w:szCs w:val="22"/>
        </w:rPr>
      </w:pPr>
      <w:r w:rsidRPr="000B5C15">
        <w:rPr>
          <w:bCs/>
          <w:szCs w:val="22"/>
        </w:rPr>
        <w:t>– se odlikuje stručnim, radnim i organizacijskim sposobnostima.</w:t>
      </w:r>
    </w:p>
    <w:p w14:paraId="3BBE14C5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</w:p>
    <w:p w14:paraId="062FAF53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  <w:r w:rsidRPr="000B5C15">
        <w:rPr>
          <w:szCs w:val="22"/>
        </w:rPr>
        <w:t xml:space="preserve">Ravnatelj/ravnateljica se imenuje na </w:t>
      </w:r>
      <w:r w:rsidRPr="000B5C15">
        <w:rPr>
          <w:b/>
          <w:szCs w:val="22"/>
        </w:rPr>
        <w:t xml:space="preserve">4 (četiri) godine, </w:t>
      </w:r>
      <w:r w:rsidRPr="000B5C15">
        <w:rPr>
          <w:szCs w:val="22"/>
        </w:rPr>
        <w:t>a ista osoba može biti ponovno imenovana.</w:t>
      </w:r>
    </w:p>
    <w:p w14:paraId="6E65A9E3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</w:p>
    <w:p w14:paraId="4D336625" w14:textId="77777777" w:rsidR="004B38D0" w:rsidRPr="000B5C15" w:rsidRDefault="004B38D0" w:rsidP="004B38D0">
      <w:pPr>
        <w:tabs>
          <w:tab w:val="left" w:pos="1740"/>
        </w:tabs>
        <w:jc w:val="both"/>
        <w:rPr>
          <w:bCs/>
          <w:szCs w:val="22"/>
        </w:rPr>
      </w:pPr>
      <w:r w:rsidRPr="000B5C15">
        <w:rPr>
          <w:bCs/>
          <w:szCs w:val="22"/>
        </w:rPr>
        <w:t>Uz prijavu na natječaj potrebno je priložiti:</w:t>
      </w:r>
    </w:p>
    <w:p w14:paraId="47E27CDF" w14:textId="77777777" w:rsidR="004B38D0" w:rsidRDefault="004B38D0" w:rsidP="004B38D0">
      <w:pPr>
        <w:numPr>
          <w:ilvl w:val="0"/>
          <w:numId w:val="4"/>
        </w:numPr>
        <w:jc w:val="both"/>
        <w:rPr>
          <w:szCs w:val="22"/>
        </w:rPr>
      </w:pPr>
      <w:r w:rsidRPr="000B5C15">
        <w:rPr>
          <w:szCs w:val="22"/>
        </w:rPr>
        <w:t>životopis s opisom dosadašnjeg rada,</w:t>
      </w:r>
    </w:p>
    <w:p w14:paraId="56DD5246" w14:textId="77777777" w:rsidR="004B38D0" w:rsidRPr="000B5C15" w:rsidRDefault="004B38D0" w:rsidP="004B38D0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plan rada za četverogodišnje razdoblje</w:t>
      </w:r>
    </w:p>
    <w:p w14:paraId="03AA2A6A" w14:textId="77777777" w:rsidR="004B38D0" w:rsidRPr="000B5C15" w:rsidRDefault="004B38D0" w:rsidP="004B38D0">
      <w:pPr>
        <w:numPr>
          <w:ilvl w:val="0"/>
          <w:numId w:val="4"/>
        </w:numPr>
        <w:jc w:val="both"/>
        <w:rPr>
          <w:szCs w:val="22"/>
        </w:rPr>
      </w:pPr>
      <w:r w:rsidRPr="000B5C15">
        <w:rPr>
          <w:szCs w:val="22"/>
        </w:rPr>
        <w:t>dokaz o hrvatskom državljanstvu (preslika domovnice ili osobne iskaznice),</w:t>
      </w:r>
    </w:p>
    <w:p w14:paraId="3229D5F6" w14:textId="77777777" w:rsidR="004B38D0" w:rsidRPr="000B5C15" w:rsidRDefault="004B38D0" w:rsidP="004B38D0">
      <w:pPr>
        <w:numPr>
          <w:ilvl w:val="0"/>
          <w:numId w:val="4"/>
        </w:numPr>
        <w:jc w:val="both"/>
        <w:rPr>
          <w:szCs w:val="22"/>
        </w:rPr>
      </w:pPr>
      <w:r w:rsidRPr="000B5C15">
        <w:rPr>
          <w:szCs w:val="22"/>
        </w:rPr>
        <w:t>dokaz o stručnoj naobrazbi (presliku),</w:t>
      </w:r>
    </w:p>
    <w:p w14:paraId="0A0213B7" w14:textId="77777777" w:rsidR="004B38D0" w:rsidRPr="000B5C15" w:rsidRDefault="004B38D0" w:rsidP="004B38D0">
      <w:pPr>
        <w:numPr>
          <w:ilvl w:val="0"/>
          <w:numId w:val="4"/>
        </w:numPr>
        <w:jc w:val="both"/>
        <w:rPr>
          <w:szCs w:val="22"/>
        </w:rPr>
      </w:pPr>
      <w:r w:rsidRPr="000B5C15">
        <w:rPr>
          <w:szCs w:val="22"/>
        </w:rPr>
        <w:t>dokaz o položenom stručnom knjižničarskom ispitu (preslika)</w:t>
      </w:r>
    </w:p>
    <w:p w14:paraId="0CBB02B0" w14:textId="77777777" w:rsidR="004B38D0" w:rsidRPr="000B5C15" w:rsidRDefault="004B38D0" w:rsidP="004B38D0">
      <w:pPr>
        <w:numPr>
          <w:ilvl w:val="0"/>
          <w:numId w:val="4"/>
        </w:numPr>
        <w:tabs>
          <w:tab w:val="left" w:pos="993"/>
        </w:tabs>
        <w:jc w:val="both"/>
        <w:rPr>
          <w:szCs w:val="22"/>
        </w:rPr>
      </w:pPr>
      <w:r w:rsidRPr="000B5C15">
        <w:rPr>
          <w:szCs w:val="22"/>
        </w:rPr>
        <w:t xml:space="preserve"> dokaz o radnom stažu evidentiranom u bazi podataka Hrvatskog zavoda za mirovinsko osiguranje (elektronički zapis o podacima),</w:t>
      </w:r>
    </w:p>
    <w:p w14:paraId="7D62DE0B" w14:textId="77777777" w:rsidR="004B38D0" w:rsidRPr="000B5C15" w:rsidRDefault="004B38D0" w:rsidP="004B38D0">
      <w:pPr>
        <w:numPr>
          <w:ilvl w:val="0"/>
          <w:numId w:val="4"/>
        </w:numPr>
        <w:tabs>
          <w:tab w:val="left" w:pos="993"/>
        </w:tabs>
        <w:jc w:val="both"/>
        <w:rPr>
          <w:szCs w:val="22"/>
        </w:rPr>
      </w:pPr>
      <w:r w:rsidRPr="000B5C15">
        <w:rPr>
          <w:szCs w:val="22"/>
        </w:rPr>
        <w:t xml:space="preserve"> dokaz o najmanje pet godina rada u knjižnici</w:t>
      </w:r>
    </w:p>
    <w:p w14:paraId="54ED5078" w14:textId="77777777" w:rsidR="004B38D0" w:rsidRPr="000B5C15" w:rsidRDefault="004B38D0" w:rsidP="004B38D0">
      <w:pPr>
        <w:numPr>
          <w:ilvl w:val="0"/>
          <w:numId w:val="4"/>
        </w:numPr>
        <w:spacing w:line="276" w:lineRule="auto"/>
        <w:jc w:val="both"/>
        <w:rPr>
          <w:szCs w:val="22"/>
        </w:rPr>
      </w:pPr>
      <w:r w:rsidRPr="000B5C15">
        <w:rPr>
          <w:szCs w:val="22"/>
        </w:rPr>
        <w:t>uvjerenje da se protiv kandidata/kandidatkinje ne vodi kazneni postupak, ne starije od 30 dana od dana raspisivanja natječaja (izvornik).</w:t>
      </w:r>
    </w:p>
    <w:p w14:paraId="2F34EAD4" w14:textId="77777777" w:rsidR="004B38D0" w:rsidRPr="000B5C15" w:rsidRDefault="004B38D0" w:rsidP="004B38D0">
      <w:pPr>
        <w:tabs>
          <w:tab w:val="left" w:pos="993"/>
        </w:tabs>
        <w:jc w:val="both"/>
        <w:rPr>
          <w:szCs w:val="22"/>
        </w:rPr>
      </w:pPr>
    </w:p>
    <w:p w14:paraId="1C219BB0" w14:textId="77777777" w:rsidR="004B38D0" w:rsidRPr="000B5C15" w:rsidRDefault="004B38D0" w:rsidP="004B38D0">
      <w:pPr>
        <w:tabs>
          <w:tab w:val="left" w:pos="993"/>
        </w:tabs>
        <w:jc w:val="both"/>
        <w:rPr>
          <w:szCs w:val="22"/>
        </w:rPr>
      </w:pPr>
      <w:r w:rsidRPr="000B5C15">
        <w:rPr>
          <w:szCs w:val="22"/>
        </w:rPr>
        <w:t>Na natječaj se mogu javiti osobe oba spola.</w:t>
      </w:r>
    </w:p>
    <w:p w14:paraId="505E6C27" w14:textId="77777777" w:rsidR="004B38D0" w:rsidRPr="000B5C15" w:rsidRDefault="004B38D0" w:rsidP="004B38D0">
      <w:pPr>
        <w:spacing w:line="276" w:lineRule="auto"/>
        <w:jc w:val="both"/>
        <w:rPr>
          <w:szCs w:val="22"/>
        </w:rPr>
      </w:pPr>
      <w:r w:rsidRPr="000B5C15">
        <w:rPr>
          <w:szCs w:val="22"/>
        </w:rPr>
        <w:t xml:space="preserve">Ako kandidat/kandidatkinja ostvaruje pravo na prednost pri zapošljavanju prema posebnom zakonu, dužan/dužna je u prijavi na javni natječaj pozvati se na to pravo i </w:t>
      </w:r>
      <w:r w:rsidRPr="000B5C15">
        <w:rPr>
          <w:rStyle w:val="googqs-tidbitgoogqs-tidbit-0"/>
          <w:szCs w:val="22"/>
        </w:rPr>
        <w:t>ima prednost u odnosu na ostale kandidate/kandidatkinje</w:t>
      </w:r>
      <w:r w:rsidRPr="000B5C15">
        <w:rPr>
          <w:szCs w:val="22"/>
        </w:rPr>
        <w:t xml:space="preserve"> samo pod jednakim uvjetima. Kandidat koji ostvaruje pravo prednosti pri zapošljavanju dokazuje isto rješenjem ili potvrdom o priznatom statusu i potvrdom o nezaposlenosti.</w:t>
      </w:r>
    </w:p>
    <w:p w14:paraId="5167FD5E" w14:textId="77777777" w:rsidR="004B38D0" w:rsidRPr="000B5C15" w:rsidRDefault="004B38D0" w:rsidP="004B38D0">
      <w:pPr>
        <w:tabs>
          <w:tab w:val="left" w:pos="993"/>
        </w:tabs>
        <w:jc w:val="both"/>
        <w:rPr>
          <w:szCs w:val="22"/>
          <w:highlight w:val="yellow"/>
        </w:rPr>
      </w:pPr>
      <w:r w:rsidRPr="000B5C15">
        <w:rPr>
          <w:color w:val="000000"/>
          <w:szCs w:val="22"/>
        </w:rPr>
        <w:t xml:space="preserve">Kandidat/kandidatkinja koji/a se poziva na pravo prednosti pri zapošljavanju na temelju članka 101. Zakona o hrvatskim braniteljima iz Domovinskog rata i članovima njihovih obitelji („Narodne novine“ broj 121/17, 98/19) dužan/dužna je uz prijavu priložiti sve dokaze o ispunjavanju traženih uvjeta iz natječaja te dokaze sukladno članku 103. Zakona o hrvatskim braniteljima iz Domovinskog rata i članovima njihovih obitelji. Dokazi za ostvarivanje prava </w:t>
      </w:r>
      <w:r w:rsidRPr="000B5C15">
        <w:rPr>
          <w:color w:val="000000"/>
          <w:szCs w:val="22"/>
        </w:rPr>
        <w:lastRenderedPageBreak/>
        <w:t>prednosti prilikom zapošljavanja objavljeni su na mrežnoj stranici Ministarstva hrvatskih branitelja Republike Hrvatske </w:t>
      </w:r>
      <w:hyperlink r:id="rId6" w:history="1">
        <w:r w:rsidRPr="000B5C15">
          <w:rPr>
            <w:rStyle w:val="Hiperveza"/>
            <w:color w:val="005EBB"/>
            <w:szCs w:val="22"/>
          </w:rPr>
          <w:t>https://branitelji.gov.hr/zaposljavanje-843/843</w:t>
        </w:r>
      </w:hyperlink>
      <w:r w:rsidRPr="000B5C15">
        <w:rPr>
          <w:color w:val="000000"/>
          <w:szCs w:val="22"/>
        </w:rPr>
        <w:t>.</w:t>
      </w:r>
    </w:p>
    <w:p w14:paraId="1D6FD9E4" w14:textId="77777777" w:rsidR="004B38D0" w:rsidRPr="000B5C15" w:rsidRDefault="004B38D0" w:rsidP="004B38D0">
      <w:pPr>
        <w:tabs>
          <w:tab w:val="left" w:pos="993"/>
        </w:tabs>
        <w:jc w:val="both"/>
        <w:rPr>
          <w:szCs w:val="22"/>
          <w:highlight w:val="yellow"/>
        </w:rPr>
      </w:pPr>
    </w:p>
    <w:p w14:paraId="6706B207" w14:textId="77777777" w:rsidR="004B38D0" w:rsidRPr="000B5C15" w:rsidRDefault="004B38D0" w:rsidP="004B38D0">
      <w:pPr>
        <w:tabs>
          <w:tab w:val="left" w:pos="1740"/>
        </w:tabs>
        <w:jc w:val="both"/>
        <w:rPr>
          <w:b/>
          <w:i/>
          <w:szCs w:val="22"/>
        </w:rPr>
      </w:pPr>
      <w:r w:rsidRPr="000B5C15">
        <w:rPr>
          <w:szCs w:val="22"/>
        </w:rPr>
        <w:t>Prijave na javni natječaj s dokazima o ispunjavanju uvjeta podnose se u roku od 15 dana od dana objave javnog natječaja u javnom glasilu</w:t>
      </w:r>
      <w:r>
        <w:rPr>
          <w:szCs w:val="22"/>
        </w:rPr>
        <w:t>,</w:t>
      </w:r>
      <w:r w:rsidRPr="000B5C15">
        <w:rPr>
          <w:szCs w:val="22"/>
        </w:rPr>
        <w:t xml:space="preserve"> na adresu: </w:t>
      </w:r>
      <w:r w:rsidRPr="000B5C15">
        <w:rPr>
          <w:b/>
          <w:szCs w:val="22"/>
        </w:rPr>
        <w:t>Općina Kostrena, Sv. Lucija 38, 51 221 Kostrena</w:t>
      </w:r>
      <w:r w:rsidRPr="000B5C15">
        <w:rPr>
          <w:szCs w:val="22"/>
        </w:rPr>
        <w:t xml:space="preserve"> s naznakom „</w:t>
      </w:r>
      <w:r w:rsidRPr="000B5C15">
        <w:rPr>
          <w:b/>
          <w:i/>
          <w:szCs w:val="22"/>
        </w:rPr>
        <w:t>Prijava na natječaj za imenovanje ravnatelja/ravnateljice Javne ustanove Narodna knjižnica Kostrena - NE OTVARATI“.</w:t>
      </w:r>
    </w:p>
    <w:p w14:paraId="06E8AB36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  <w:r w:rsidRPr="000B5C15">
        <w:rPr>
          <w:szCs w:val="22"/>
        </w:rPr>
        <w:t>Nepravovremene i nepotpune prijave neće se razmatrati.</w:t>
      </w:r>
    </w:p>
    <w:p w14:paraId="26FCE2FA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  <w:r w:rsidRPr="000B5C15">
        <w:rPr>
          <w:szCs w:val="22"/>
        </w:rPr>
        <w:t>Općina Kostrena zadržava pravo poništiti javni natječaj u svakom trenutku.</w:t>
      </w:r>
    </w:p>
    <w:p w14:paraId="4E9C58AD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</w:p>
    <w:p w14:paraId="5F02C61A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  <w:r w:rsidRPr="000B5C15">
        <w:rPr>
          <w:szCs w:val="22"/>
        </w:rPr>
        <w:t xml:space="preserve">Ravnatelja/ravnateljicu imenuje Općinsko vijeće Općine Kostrena na prijedlog Odbora za izbor i imenovanja Općinskog vijeća </w:t>
      </w:r>
      <w:r>
        <w:rPr>
          <w:szCs w:val="22"/>
        </w:rPr>
        <w:t>O</w:t>
      </w:r>
      <w:r w:rsidRPr="000B5C15">
        <w:rPr>
          <w:szCs w:val="22"/>
        </w:rPr>
        <w:t>pćine Kostrena.</w:t>
      </w:r>
    </w:p>
    <w:p w14:paraId="0876CACF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  <w:r w:rsidRPr="000B5C15">
        <w:rPr>
          <w:szCs w:val="22"/>
        </w:rPr>
        <w:t>O rezultatima natječaja prijavljeni kandidati/kandidatkinje biti će obaviješteni u roku od 45 dana od dana isteka roka za podnošenje prijava.</w:t>
      </w:r>
    </w:p>
    <w:p w14:paraId="504F283C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</w:p>
    <w:p w14:paraId="07C7791E" w14:textId="77777777" w:rsidR="004B38D0" w:rsidRPr="000B5C15" w:rsidRDefault="004B38D0" w:rsidP="004B38D0">
      <w:pPr>
        <w:tabs>
          <w:tab w:val="left" w:pos="1740"/>
        </w:tabs>
        <w:jc w:val="both"/>
        <w:rPr>
          <w:szCs w:val="22"/>
        </w:rPr>
      </w:pPr>
      <w:r>
        <w:rPr>
          <w:szCs w:val="22"/>
        </w:rPr>
        <w:t xml:space="preserve">          </w:t>
      </w:r>
      <w:r w:rsidRPr="000B5C15">
        <w:rPr>
          <w:szCs w:val="22"/>
        </w:rPr>
        <w:t xml:space="preserve">                                                                     OPĆINSKO VIJEĆE OPĆINE KOSTRENA</w:t>
      </w:r>
    </w:p>
    <w:p w14:paraId="18F7D79E" w14:textId="77777777" w:rsidR="007B456D" w:rsidRDefault="007B456D" w:rsidP="004B38D0"/>
    <w:sectPr w:rsidR="007B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383C"/>
    <w:multiLevelType w:val="hybridMultilevel"/>
    <w:tmpl w:val="BCEEA91E"/>
    <w:lvl w:ilvl="0" w:tplc="0660D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85A86"/>
    <w:multiLevelType w:val="hybridMultilevel"/>
    <w:tmpl w:val="2BE41E78"/>
    <w:lvl w:ilvl="0" w:tplc="DA4892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5374"/>
    <w:multiLevelType w:val="hybridMultilevel"/>
    <w:tmpl w:val="FDA06FFE"/>
    <w:lvl w:ilvl="0" w:tplc="D8E45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2D1C"/>
    <w:multiLevelType w:val="hybridMultilevel"/>
    <w:tmpl w:val="80920154"/>
    <w:lvl w:ilvl="0" w:tplc="064CF9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6D"/>
    <w:rsid w:val="00073B26"/>
    <w:rsid w:val="001157DB"/>
    <w:rsid w:val="00255107"/>
    <w:rsid w:val="00452742"/>
    <w:rsid w:val="004B38D0"/>
    <w:rsid w:val="006D6A21"/>
    <w:rsid w:val="007813E7"/>
    <w:rsid w:val="007B456D"/>
    <w:rsid w:val="008821EC"/>
    <w:rsid w:val="008A3C68"/>
    <w:rsid w:val="008D1B36"/>
    <w:rsid w:val="009E1C4B"/>
    <w:rsid w:val="00B8785F"/>
    <w:rsid w:val="00B935AC"/>
    <w:rsid w:val="00BB414F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CF2D"/>
  <w15:chartTrackingRefBased/>
  <w15:docId w15:val="{A656BE09-F1C5-4743-A992-5CDC450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85F"/>
    <w:pPr>
      <w:ind w:left="720"/>
      <w:contextualSpacing/>
    </w:pPr>
  </w:style>
  <w:style w:type="character" w:styleId="Hiperveza">
    <w:name w:val="Hyperlink"/>
    <w:rsid w:val="004B38D0"/>
    <w:rPr>
      <w:color w:val="0563C1"/>
      <w:u w:val="single"/>
    </w:rPr>
  </w:style>
  <w:style w:type="character" w:customStyle="1" w:styleId="googqs-tidbitgoogqs-tidbit-0">
    <w:name w:val="goog_qs-tidbit goog_qs-tidbit-0"/>
    <w:basedOn w:val="Zadanifontodlomka"/>
    <w:rsid w:val="004B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Matijašec</dc:creator>
  <cp:keywords/>
  <dc:description/>
  <cp:lastModifiedBy>Mateja Matijašec</cp:lastModifiedBy>
  <cp:revision>4</cp:revision>
  <dcterms:created xsi:type="dcterms:W3CDTF">2020-10-27T10:36:00Z</dcterms:created>
  <dcterms:modified xsi:type="dcterms:W3CDTF">2020-10-27T10:49:00Z</dcterms:modified>
</cp:coreProperties>
</file>