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62E28" w14:textId="77777777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4D16A5">
        <w:rPr>
          <w:rStyle w:val="Istaknuto"/>
          <w:rFonts w:eastAsiaTheme="majorEastAsia"/>
          <w:b/>
          <w:bCs/>
          <w:color w:val="000000"/>
          <w:sz w:val="22"/>
          <w:szCs w:val="22"/>
        </w:rPr>
        <w:t>OBAVIJEST</w:t>
      </w:r>
    </w:p>
    <w:p w14:paraId="53B56D67" w14:textId="77777777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4D16A5">
        <w:rPr>
          <w:rStyle w:val="Istaknuto"/>
          <w:rFonts w:eastAsiaTheme="majorEastAsia"/>
          <w:b/>
          <w:bCs/>
          <w:color w:val="000000"/>
          <w:sz w:val="22"/>
          <w:szCs w:val="22"/>
        </w:rPr>
        <w:t>o korištenju javnih površina, zemljišta, uređaja, objekata i prostora</w:t>
      </w:r>
    </w:p>
    <w:p w14:paraId="7232DD16" w14:textId="77777777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center"/>
        <w:rPr>
          <w:color w:val="000000"/>
          <w:sz w:val="22"/>
          <w:szCs w:val="22"/>
        </w:rPr>
      </w:pPr>
      <w:r w:rsidRPr="004D16A5">
        <w:rPr>
          <w:rStyle w:val="Istaknuto"/>
          <w:rFonts w:eastAsiaTheme="majorEastAsia"/>
          <w:b/>
          <w:bCs/>
          <w:color w:val="000000"/>
          <w:sz w:val="22"/>
          <w:szCs w:val="22"/>
        </w:rPr>
        <w:t>u vlasništvu Općine Kostrena u izbornoj promidžbi</w:t>
      </w:r>
    </w:p>
    <w:p w14:paraId="24587893" w14:textId="77777777" w:rsidR="00B27F7C" w:rsidRPr="004D16A5" w:rsidRDefault="00B27F7C" w:rsidP="00B27F7C">
      <w:pPr>
        <w:pStyle w:val="StandardWeb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4D16A5">
        <w:rPr>
          <w:rStyle w:val="Istaknuto"/>
          <w:rFonts w:eastAsiaTheme="majorEastAsia"/>
          <w:b/>
          <w:bCs/>
          <w:color w:val="000000"/>
          <w:sz w:val="22"/>
          <w:szCs w:val="22"/>
        </w:rPr>
        <w:t> </w:t>
      </w:r>
    </w:p>
    <w:p w14:paraId="7FDEECA2" w14:textId="44006C45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D16A5">
        <w:rPr>
          <w:color w:val="000000"/>
          <w:sz w:val="22"/>
          <w:szCs w:val="22"/>
        </w:rPr>
        <w:t xml:space="preserve">Odlukom Predsjednika Republike Hrvatske od 15. ožujka 2024., KLASA: 01202/24-01/01, URBROJ: 71-10-01/1-24-1, koja je stupila na snagu 15. ožujka 2024., raspisani su izbori za zastupnike u Hrvatski sabor (dalje: Izbori).  </w:t>
      </w:r>
    </w:p>
    <w:p w14:paraId="02C678C6" w14:textId="58F9BD45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D16A5">
        <w:rPr>
          <w:color w:val="000000"/>
          <w:sz w:val="22"/>
          <w:szCs w:val="22"/>
        </w:rPr>
        <w:t>Općinsko vijeće Općine Kostrena donijelo je dana 23. veljače 2017. godine </w:t>
      </w:r>
      <w:hyperlink r:id="rId4" w:history="1">
        <w:r w:rsidRPr="004D16A5">
          <w:rPr>
            <w:rStyle w:val="Istaknuto"/>
            <w:rFonts w:eastAsiaTheme="majorEastAsia"/>
            <w:color w:val="005EBB"/>
            <w:sz w:val="22"/>
            <w:szCs w:val="22"/>
          </w:rPr>
          <w:t>Odluku</w:t>
        </w:r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 </w:t>
        </w:r>
        <w:r w:rsidRPr="004D16A5">
          <w:rPr>
            <w:rStyle w:val="Istaknuto"/>
            <w:rFonts w:eastAsiaTheme="majorEastAsia"/>
            <w:color w:val="005EBB"/>
            <w:sz w:val="22"/>
            <w:szCs w:val="22"/>
          </w:rPr>
          <w:t>o privremenom korištenje javnih površina, zemljišta, uređaja, objekata i prostora u vlasništvu i na upravljanju Općine Kostrena radi političkog djelovanja i izborne promidžbe</w:t>
        </w:r>
      </w:hyperlink>
      <w:r w:rsidRPr="004D16A5">
        <w:rPr>
          <w:color w:val="000000"/>
          <w:sz w:val="22"/>
          <w:szCs w:val="22"/>
        </w:rPr>
        <w:t> („Službene novine Općine Kostrena“ br. 2/17) i dana 12. travnja 2017. godine </w:t>
      </w:r>
      <w:hyperlink r:id="rId5" w:history="1">
        <w:r w:rsidRPr="004D16A5">
          <w:rPr>
            <w:rStyle w:val="Istaknuto"/>
            <w:rFonts w:eastAsiaTheme="majorEastAsia"/>
            <w:color w:val="005EBB"/>
            <w:sz w:val="22"/>
            <w:szCs w:val="22"/>
          </w:rPr>
          <w:t>Dopunu Odluke</w:t>
        </w:r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 </w:t>
        </w:r>
        <w:r w:rsidRPr="004D16A5">
          <w:rPr>
            <w:rStyle w:val="Istaknuto"/>
            <w:rFonts w:eastAsiaTheme="majorEastAsia"/>
            <w:color w:val="005EBB"/>
            <w:sz w:val="22"/>
            <w:szCs w:val="22"/>
          </w:rPr>
          <w:t>o privremenom korištenje javnih površina, zemljišta, uređaja, objekata i prostora u vlasništvu i na upravljanju Općine Kostrena radi političkog djelovanja i izborne promidžbe</w:t>
        </w:r>
      </w:hyperlink>
      <w:r w:rsidRPr="004D16A5">
        <w:rPr>
          <w:color w:val="000000"/>
          <w:sz w:val="22"/>
          <w:szCs w:val="22"/>
        </w:rPr>
        <w:t> („Službene novine Općine Kostrena“ br. 3/17) , kojom je uređeno korištenje javnih površina i zemljišta, te uređaja i objekata u vlasništvu ili na upravljanju Općine Kostrena u svrhu izborne promidžbe.</w:t>
      </w:r>
    </w:p>
    <w:p w14:paraId="1313F203" w14:textId="6229DC5C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D16A5">
        <w:rPr>
          <w:color w:val="000000"/>
          <w:sz w:val="22"/>
          <w:szCs w:val="22"/>
        </w:rPr>
        <w:t>U tom smislu obavještavaju se zaineresirani sudionici izborne promidžbe da se zahtjev za korištenjem javne površine odnosno uređaja (oglasnih ploča) može podnijeti na </w:t>
      </w:r>
      <w:hyperlink r:id="rId6" w:history="1"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obrascu zahtjeva za korištenjem javnih površina</w:t>
        </w:r>
      </w:hyperlink>
      <w:r w:rsidRPr="004D16A5">
        <w:rPr>
          <w:color w:val="000000"/>
          <w:sz w:val="22"/>
          <w:szCs w:val="22"/>
        </w:rPr>
        <w:t> i </w:t>
      </w:r>
      <w:hyperlink r:id="rId7" w:history="1"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obrascu zahtjeva za korištenjem oglasnih ploča</w:t>
        </w:r>
      </w:hyperlink>
      <w:r w:rsidRPr="004D16A5">
        <w:rPr>
          <w:color w:val="000000"/>
          <w:sz w:val="22"/>
          <w:szCs w:val="22"/>
        </w:rPr>
        <w:t>, putem e-maila na adresu </w:t>
      </w:r>
      <w:hyperlink r:id="rId8" w:history="1"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kostrena@kostrena.hr</w:t>
        </w:r>
      </w:hyperlink>
      <w:r w:rsidRPr="004D16A5">
        <w:rPr>
          <w:color w:val="000000"/>
          <w:sz w:val="22"/>
          <w:szCs w:val="22"/>
        </w:rPr>
        <w:t> ili osobno u sjedištu Općine Kostrena, Sveta Lucija 38. Uz zahtjev je potrebno dostaviti dokaz o uplati garantnog pologa koji iznosi </w:t>
      </w:r>
      <w:r w:rsidRPr="004D16A5">
        <w:rPr>
          <w:b/>
          <w:bCs/>
          <w:color w:val="000000"/>
          <w:sz w:val="22"/>
          <w:szCs w:val="22"/>
        </w:rPr>
        <w:t>66,36 €</w:t>
      </w:r>
      <w:r w:rsidRPr="004D16A5">
        <w:rPr>
          <w:color w:val="000000"/>
          <w:sz w:val="22"/>
          <w:szCs w:val="22"/>
        </w:rPr>
        <w:t xml:space="preserve"> za javnu površinu (zemljište), odnosno </w:t>
      </w:r>
      <w:r w:rsidRPr="004D16A5">
        <w:rPr>
          <w:b/>
          <w:bCs/>
          <w:color w:val="000000"/>
          <w:sz w:val="22"/>
          <w:szCs w:val="22"/>
        </w:rPr>
        <w:t>39,81 €</w:t>
      </w:r>
      <w:r w:rsidRPr="004D16A5">
        <w:rPr>
          <w:color w:val="000000"/>
          <w:sz w:val="22"/>
          <w:szCs w:val="22"/>
        </w:rPr>
        <w:t xml:space="preserve"> za oglasne ploče, i uplaćuje se u korist Proračuna Općine Kostrena </w:t>
      </w:r>
      <w:r w:rsidRPr="004D16A5">
        <w:rPr>
          <w:rStyle w:val="Istaknuto"/>
          <w:rFonts w:eastAsiaTheme="majorEastAsia"/>
          <w:b/>
          <w:bCs/>
          <w:color w:val="000000"/>
          <w:sz w:val="22"/>
          <w:szCs w:val="22"/>
        </w:rPr>
        <w:t>IBAN 1723400091853800000 poziv na broj HR 68 9016-OIB</w:t>
      </w:r>
      <w:r w:rsidRPr="004D16A5">
        <w:rPr>
          <w:color w:val="000000"/>
          <w:sz w:val="22"/>
          <w:szCs w:val="22"/>
        </w:rPr>
        <w:t>.</w:t>
      </w:r>
    </w:p>
    <w:p w14:paraId="7F382BC3" w14:textId="3BB46EC7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D16A5">
        <w:rPr>
          <w:color w:val="000000"/>
          <w:sz w:val="22"/>
          <w:szCs w:val="22"/>
        </w:rPr>
        <w:t>Naknada za korištenje zemljišta utvrđuje se kao umnožak površine koja se koristi, jedinične cijene od 4,65 €/m</w:t>
      </w:r>
      <w:r w:rsidRPr="004D16A5">
        <w:rPr>
          <w:color w:val="000000"/>
          <w:sz w:val="22"/>
          <w:szCs w:val="22"/>
          <w:vertAlign w:val="superscript"/>
        </w:rPr>
        <w:t>2</w:t>
      </w:r>
      <w:r w:rsidRPr="004D16A5">
        <w:rPr>
          <w:color w:val="000000"/>
          <w:sz w:val="22"/>
          <w:szCs w:val="22"/>
        </w:rPr>
        <w:t xml:space="preserve"> i dana korištenja. Naknada za oglasne ploče iznosi </w:t>
      </w:r>
      <w:r w:rsidRPr="004D16A5">
        <w:rPr>
          <w:b/>
          <w:bCs/>
          <w:color w:val="000000"/>
          <w:sz w:val="22"/>
          <w:szCs w:val="22"/>
        </w:rPr>
        <w:t>13,27 €</w:t>
      </w:r>
      <w:r w:rsidRPr="004D16A5">
        <w:rPr>
          <w:color w:val="000000"/>
          <w:sz w:val="22"/>
          <w:szCs w:val="22"/>
        </w:rPr>
        <w:t xml:space="preserve"> po oglasnoj ploči i podnositelju zahtjeva može se odobriti korištenje najviše 4 oglasne ploče. Popis lokacija oglasnih ploča dostupan je </w:t>
      </w:r>
      <w:hyperlink r:id="rId9" w:history="1">
        <w:r w:rsidRPr="004D16A5">
          <w:rPr>
            <w:rStyle w:val="Hiperveza"/>
            <w:rFonts w:eastAsiaTheme="majorEastAsia"/>
            <w:color w:val="005EBB"/>
            <w:sz w:val="22"/>
            <w:szCs w:val="22"/>
          </w:rPr>
          <w:t>ovdje</w:t>
        </w:r>
      </w:hyperlink>
      <w:r w:rsidRPr="004D16A5">
        <w:rPr>
          <w:color w:val="000000"/>
          <w:sz w:val="22"/>
          <w:szCs w:val="22"/>
        </w:rPr>
        <w:t>.</w:t>
      </w:r>
    </w:p>
    <w:p w14:paraId="28F3E468" w14:textId="043DC9C1" w:rsidR="00B27F7C" w:rsidRPr="004D16A5" w:rsidRDefault="00B27F7C" w:rsidP="00B27F7C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4D16A5">
        <w:rPr>
          <w:color w:val="000000"/>
          <w:sz w:val="22"/>
          <w:szCs w:val="22"/>
        </w:rPr>
        <w:t>Zahtjev se podnosi Upravnom odjelu za opće, pravne poslove i lokalnu samoupravu, na čiji prijedlog odluku donosi Općinski načelnik, a korištenje započinje nakon početka izborne promidžbe.  U slučaju zaprimanja dva ili više zahtjeva za korištenje iste javne površine ili oglasne ploče, prednost će imati podnositelj koji je prvi podnio </w:t>
      </w:r>
      <w:r w:rsidRPr="004D16A5">
        <w:rPr>
          <w:color w:val="000000"/>
          <w:sz w:val="22"/>
          <w:szCs w:val="22"/>
          <w:u w:val="single"/>
        </w:rPr>
        <w:t>uredni pisani zahtjev</w:t>
      </w:r>
      <w:r w:rsidRPr="004D16A5">
        <w:rPr>
          <w:color w:val="000000"/>
          <w:sz w:val="22"/>
          <w:szCs w:val="22"/>
        </w:rPr>
        <w:t> a sukladno članku 29. </w:t>
      </w:r>
      <w:r w:rsidRPr="004D16A5">
        <w:rPr>
          <w:rStyle w:val="Istaknuto"/>
          <w:rFonts w:eastAsiaTheme="majorEastAsia"/>
          <w:color w:val="000000"/>
          <w:sz w:val="22"/>
          <w:szCs w:val="22"/>
        </w:rPr>
        <w:t>Odluke o privremenom korištenje javnih površina, zemljišta, uređaja, objekata i prostora u vlasništvu i na upravljanju Općine Kostrena radi političkog djelovanja i izborne promidžbe</w:t>
      </w:r>
      <w:r w:rsidRPr="004D16A5">
        <w:rPr>
          <w:color w:val="000000"/>
          <w:sz w:val="22"/>
          <w:szCs w:val="22"/>
        </w:rPr>
        <w:t>.</w:t>
      </w:r>
    </w:p>
    <w:p w14:paraId="13325E09" w14:textId="77777777" w:rsidR="00DD1D37" w:rsidRDefault="00DD1D37"/>
    <w:sectPr w:rsidR="00DD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C"/>
    <w:rsid w:val="00382B84"/>
    <w:rsid w:val="004D16A5"/>
    <w:rsid w:val="00B27F7C"/>
    <w:rsid w:val="00D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A27"/>
  <w15:chartTrackingRefBased/>
  <w15:docId w15:val="{DCA785D5-A947-4313-BEEB-C10C7B6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7F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27F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7F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27F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27F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27F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27F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27F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27F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7F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27F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7F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27F7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27F7C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27F7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27F7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27F7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27F7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27F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2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27F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27F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27F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27F7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27F7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27F7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27F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27F7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27F7C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B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B27F7C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27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ena@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strena.hr/wp-content/uploads/2021/04/obrazac-ZAHTJEVA-za-koristenjem-oglasnih-ploca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trena.hr/wp-content/uploads/2021/04/obrazac-ZAHTJEVA-za-koristenjem-javnih-povrsina-1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strena.hr/wp-content/uploads/2021/04/ODLUKA-O-DOPUNI-ODLUKE-O-PRIVREMENOM-KORISTENJU-JAVNIH-POVRSINA-SL.NOVINE-OPCINE-KOSTRENA-BROJ-3-17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strena.hr/wp-content/uploads/2021/04/ODLUKA-O-PRIVREMENOM-KORISTENJU-JAVNIH-POVRSINA-SL.NOVINE-OPCINE-KOSTRENA-BROJ-2-17.pdf" TargetMode="External"/><Relationship Id="rId9" Type="http://schemas.openxmlformats.org/officeDocument/2006/relationships/hyperlink" Target="https://kostrena.hr/wp-content/uploads/2021/04/POPIS-OGLASNIH-PLOCA-4.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Mičetić</dc:creator>
  <cp:keywords/>
  <dc:description/>
  <cp:lastModifiedBy>Iva Mičetić</cp:lastModifiedBy>
  <cp:revision>2</cp:revision>
  <dcterms:created xsi:type="dcterms:W3CDTF">2024-04-08T13:32:00Z</dcterms:created>
  <dcterms:modified xsi:type="dcterms:W3CDTF">2024-04-08T14:24:00Z</dcterms:modified>
</cp:coreProperties>
</file>