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45CCE257" w:rsidR="00526BC3" w:rsidRPr="001937B8" w:rsidRDefault="001C082D" w:rsidP="00EE14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C082D">
              <w:rPr>
                <w:rFonts w:ascii="Times New Roman" w:eastAsia="Times New Roman" w:hAnsi="Times New Roman" w:cs="Times New Roman"/>
                <w:b/>
                <w:lang w:eastAsia="hr-HR"/>
              </w:rPr>
              <w:t>Nacrt prijedloga Plana rasvjete Općine Kostrena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4FCF6FD0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1C082D" w:rsidRPr="001C082D">
              <w:rPr>
                <w:rFonts w:ascii="Times New Roman" w:eastAsia="Times New Roman" w:hAnsi="Times New Roman" w:cs="Times New Roman"/>
                <w:b/>
                <w:lang w:eastAsia="hr-HR"/>
              </w:rPr>
              <w:t>29. svibnja do 30. lipnja 2025.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66A3A"/>
    <w:rsid w:val="000D4C9E"/>
    <w:rsid w:val="00131C7D"/>
    <w:rsid w:val="00150FFE"/>
    <w:rsid w:val="001937B8"/>
    <w:rsid w:val="001C082D"/>
    <w:rsid w:val="002B32DD"/>
    <w:rsid w:val="003168C0"/>
    <w:rsid w:val="003235EF"/>
    <w:rsid w:val="003A0B4B"/>
    <w:rsid w:val="004C28D3"/>
    <w:rsid w:val="00526BC3"/>
    <w:rsid w:val="005B5103"/>
    <w:rsid w:val="006920B4"/>
    <w:rsid w:val="00797AFA"/>
    <w:rsid w:val="007B531B"/>
    <w:rsid w:val="008C2E1A"/>
    <w:rsid w:val="00B932E2"/>
    <w:rsid w:val="00B974EC"/>
    <w:rsid w:val="00C204D0"/>
    <w:rsid w:val="00CC35D1"/>
    <w:rsid w:val="00D21269"/>
    <w:rsid w:val="00D2219B"/>
    <w:rsid w:val="00D34444"/>
    <w:rsid w:val="00DF6D6E"/>
    <w:rsid w:val="00E20349"/>
    <w:rsid w:val="00EE14D9"/>
    <w:rsid w:val="00F23630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11</cp:revision>
  <cp:lastPrinted>2021-10-18T09:58:00Z</cp:lastPrinted>
  <dcterms:created xsi:type="dcterms:W3CDTF">2022-10-18T09:48:00Z</dcterms:created>
  <dcterms:modified xsi:type="dcterms:W3CDTF">2025-05-28T12:41:00Z</dcterms:modified>
</cp:coreProperties>
</file>